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right="0"/>
        <w:jc w:val="center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instrText xml:space="preserve"> HYPERLINK "https://www.yooc.me/group/10462405/topics/18633901-1" \o "心理育人（Psychological Education）" </w:instrTex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fldChar w:fldCharType="separate"/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心理育人（P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sychological Education）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The themed Party Day activity, themed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"Forging Soul and Nurturing the Mind"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, was truly inspiring. Focusing on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psychological education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, it emphasized integrating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mental health support with moral cultivation to help members grow holistically.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The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part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of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the "Odyssey Years" deeply resonated with me. It helped me understand the confusion we face as young adults and the importance of shifting from self-focused anxiety to an altruistic mindset. I learned that overcoming uncertainty requires not just reflection but daily actions.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 w:firstLineChars="0"/>
        <w:jc w:val="left"/>
        <w:rPr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This activity reminded me that being a Party member means nurturing both my character and mental resilience. Moving forward, I will stay true to my beliefs, keep a positive attitude, and contribute to my community with a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clear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mind.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E2A76"/>
    <w:rsid w:val="512E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2026-05-27T04:20:00Z</dcterms:created>
  <dc:creator>红烧修勾</dc:creator>
  <cp:lastModifiedBy>红烧修勾</cp:lastModifiedBy>
  <dcterms:modified xsi:type="dcterms:W3CDTF">2026-05-27T04:50:08Z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