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D9845404">
      <w:pPr>
        <w:pStyle w:val="style0"/>
        <w:rPr/>
      </w:pPr>
      <w:bookmarkStart w:id="0" w:name="_GoBack"/>
      <w:bookmarkEnd w:id="0"/>
      <w:r>
        <w:rPr>
          <w:lang w:val="en-US"/>
        </w:rPr>
        <w:t>Through this study, I have realized that the protection and revitalization of intangible cultural heritage should be based on preserving its inherent essence, integrating the needs of the times and modern life, so that intangible cultural heritage can thrive.We can achieve this through innovative communication, cross-border integration and scenario-based application.For example, to revitalize Cantonese Opera, we can make it more life-oriented and youthful, and enhance its communicability.In this way, we meet the basic requirements of upholding authenticity and keeping pace with the times, thus revitalizing intangible cultural heritage.At the same time, we must strengthen our cultural confidence, adhere to maintaining integrity while pursuing innovation, and become qualified successors in inheriting intangible cultural heritage in the new era.</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117</Words>
  <Characters>738</Characters>
  <Application>WPS Office</Application>
  <Paragraphs>1</Paragraphs>
  <CharactersWithSpaces>854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2026-04-17T07:35:18Z</dcterms:created>
  <dc:creator>PLB110</dc:creator>
  <lastModifiedBy>PLB110</lastModifiedBy>
  <dcterms:modified xsi:type="dcterms:W3CDTF">2026-04-17T07:36:51Z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a6941b9548aa4bd483212c77132f01de_21</vt:lpwstr>
  </property>
</Properties>
</file>