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800BA">
      <w:pPr>
        <w:jc w:val="center"/>
        <w:rPr>
          <w:rFonts w:hint="eastAsia"/>
          <w:b/>
          <w:bCs/>
          <w:sz w:val="52"/>
          <w:szCs w:val="60"/>
          <w:lang w:val="en-US" w:eastAsia="zh-CN"/>
        </w:rPr>
      </w:pPr>
      <w:r>
        <w:rPr>
          <w:rFonts w:hint="eastAsia"/>
          <w:b/>
          <w:bCs/>
          <w:sz w:val="52"/>
          <w:szCs w:val="60"/>
          <w:lang w:val="en-US" w:eastAsia="zh-CN"/>
        </w:rPr>
        <w:t>水族造景报告</w:t>
      </w:r>
    </w:p>
    <w:p w14:paraId="354E0C5B">
      <w:pPr>
        <w:jc w:val="center"/>
        <w:rPr>
          <w:rFonts w:hint="default"/>
          <w:b/>
          <w:bCs/>
          <w:sz w:val="24"/>
          <w:szCs w:val="32"/>
          <w:lang w:val="en-US" w:eastAsia="zh-CN"/>
        </w:rPr>
      </w:pPr>
      <w:r>
        <w:rPr>
          <w:rFonts w:hint="eastAsia"/>
          <w:b w:val="0"/>
          <w:bCs w:val="0"/>
          <w:sz w:val="32"/>
          <w:szCs w:val="40"/>
          <w:lang w:val="en-US" w:eastAsia="zh-CN"/>
        </w:rPr>
        <w:t xml:space="preserve">                                      ——周逸群</w:t>
      </w:r>
    </w:p>
    <w:p w14:paraId="5E4BC4AD">
      <w:pPr>
        <w:spacing w:line="240" w:lineRule="auto"/>
        <w:jc w:val="left"/>
        <w:rPr>
          <w:rFonts w:hint="default"/>
          <w:b/>
          <w:bCs/>
          <w:sz w:val="24"/>
          <w:szCs w:val="32"/>
          <w:lang w:val="en-US" w:eastAsia="zh-CN"/>
        </w:rPr>
      </w:pPr>
    </w:p>
    <w:p w14:paraId="06AF34E3">
      <w:pPr>
        <w:spacing w:line="360" w:lineRule="auto"/>
        <w:jc w:val="left"/>
        <w:rPr>
          <w:rFonts w:hint="eastAsia" w:ascii="黑体" w:hAnsi="黑体" w:eastAsia="黑体" w:cs="黑体"/>
          <w:b/>
          <w:bCs/>
          <w:color w:val="C81D31" w:themeColor="accent6" w:themeShade="BF"/>
          <w:sz w:val="52"/>
          <w:szCs w:val="60"/>
          <w:lang w:val="en-US" w:eastAsia="zh-CN"/>
        </w:rPr>
      </w:pPr>
    </w:p>
    <w:p w14:paraId="25E12A64">
      <w:pPr>
        <w:spacing w:line="360" w:lineRule="auto"/>
        <w:jc w:val="left"/>
        <w:rPr>
          <w:rFonts w:hint="eastAsia" w:ascii="黑体" w:hAnsi="黑体" w:eastAsia="黑体" w:cs="黑体"/>
          <w:b/>
          <w:bCs/>
          <w:color w:val="C81D31" w:themeColor="accent6" w:themeShade="BF"/>
          <w:sz w:val="52"/>
          <w:szCs w:val="60"/>
          <w:lang w:val="en-US" w:eastAsia="zh-CN"/>
        </w:rPr>
      </w:pPr>
    </w:p>
    <w:p w14:paraId="21BF1DC9">
      <w:pPr>
        <w:spacing w:line="360" w:lineRule="auto"/>
        <w:jc w:val="left"/>
        <w:rPr>
          <w:rFonts w:hint="eastAsia" w:ascii="黑体" w:hAnsi="黑体" w:eastAsia="黑体" w:cs="黑体"/>
          <w:b/>
          <w:bCs/>
          <w:color w:val="C81D31" w:themeColor="accent6" w:themeShade="BF"/>
          <w:sz w:val="52"/>
          <w:szCs w:val="60"/>
          <w:lang w:val="en-US" w:eastAsia="zh-CN"/>
        </w:rPr>
      </w:pPr>
    </w:p>
    <w:p w14:paraId="17A9A3AC">
      <w:pPr>
        <w:spacing w:line="360" w:lineRule="auto"/>
        <w:jc w:val="left"/>
        <w:rPr>
          <w:rFonts w:hint="eastAsia" w:ascii="黑体" w:hAnsi="黑体" w:eastAsia="黑体" w:cs="黑体"/>
          <w:b/>
          <w:bCs/>
          <w:color w:val="C81D31" w:themeColor="accent6" w:themeShade="BF"/>
          <w:sz w:val="52"/>
          <w:szCs w:val="60"/>
          <w:lang w:val="en-US" w:eastAsia="zh-CN"/>
        </w:rPr>
      </w:pPr>
    </w:p>
    <w:p w14:paraId="10FF4B1A">
      <w:pPr>
        <w:spacing w:line="360" w:lineRule="auto"/>
        <w:jc w:val="left"/>
        <w:rPr>
          <w:rFonts w:hint="eastAsia" w:ascii="黑体" w:hAnsi="黑体" w:eastAsia="黑体" w:cs="黑体"/>
          <w:b/>
          <w:bCs/>
          <w:color w:val="C81D31" w:themeColor="accent6" w:themeShade="BF"/>
          <w:sz w:val="52"/>
          <w:szCs w:val="60"/>
          <w:lang w:val="en-US" w:eastAsia="zh-CN"/>
        </w:rPr>
      </w:pPr>
    </w:p>
    <w:p w14:paraId="59D28F3A">
      <w:pPr>
        <w:spacing w:line="360" w:lineRule="auto"/>
        <w:jc w:val="left"/>
        <w:rPr>
          <w:rFonts w:hint="eastAsia" w:ascii="黑体" w:hAnsi="黑体" w:eastAsia="黑体" w:cs="黑体"/>
          <w:b/>
          <w:bCs/>
          <w:color w:val="C81D31" w:themeColor="accent6" w:themeShade="BF"/>
          <w:sz w:val="52"/>
          <w:szCs w:val="60"/>
          <w:lang w:val="en-US" w:eastAsia="zh-CN"/>
        </w:rPr>
      </w:pPr>
    </w:p>
    <w:p w14:paraId="093DC62D">
      <w:pPr>
        <w:spacing w:line="360" w:lineRule="auto"/>
        <w:jc w:val="left"/>
        <w:rPr>
          <w:rFonts w:hint="eastAsia"/>
          <w:b/>
          <w:bCs/>
          <w:sz w:val="48"/>
          <w:szCs w:val="56"/>
          <w:lang w:val="en-US" w:eastAsia="zh-CN"/>
        </w:rPr>
      </w:pPr>
      <w:r>
        <w:rPr>
          <w:rFonts w:hint="eastAsia" w:ascii="黑体" w:hAnsi="黑体" w:eastAsia="黑体" w:cs="黑体"/>
          <w:b/>
          <w:bCs/>
          <w:color w:val="C81D31" w:themeColor="accent6" w:themeShade="BF"/>
          <w:sz w:val="52"/>
          <w:szCs w:val="60"/>
          <w:lang w:val="en-US" w:eastAsia="zh-CN"/>
        </w:rPr>
        <w:t>!!!免责声明</w:t>
      </w:r>
      <w:r>
        <w:rPr>
          <w:rFonts w:hint="eastAsia"/>
          <w:b/>
          <w:bCs/>
          <w:sz w:val="48"/>
          <w:szCs w:val="56"/>
          <w:lang w:val="en-US" w:eastAsia="zh-CN"/>
        </w:rPr>
        <w:t>:</w:t>
      </w:r>
    </w:p>
    <w:p w14:paraId="0C29D089">
      <w:pPr>
        <w:spacing w:line="240" w:lineRule="auto"/>
        <w:ind w:firstLine="964" w:firstLineChars="200"/>
        <w:jc w:val="left"/>
        <w:rPr>
          <w:rFonts w:hint="eastAsia" w:eastAsia="宋体"/>
          <w:b/>
          <w:bCs/>
          <w:sz w:val="48"/>
          <w:szCs w:val="56"/>
          <w:lang w:val="en-US" w:eastAsia="zh-CN"/>
        </w:rPr>
      </w:pPr>
      <w:r>
        <w:rPr>
          <w:rFonts w:hint="eastAsia"/>
          <w:b/>
          <w:bCs/>
          <w:sz w:val="48"/>
          <w:szCs w:val="56"/>
          <w:lang w:val="en-US" w:eastAsia="zh-CN"/>
        </w:rPr>
        <w:t>本篇报告纯私用,</w:t>
      </w:r>
      <w:r>
        <w:rPr>
          <w:rFonts w:ascii="宋体" w:hAnsi="宋体" w:eastAsia="宋体" w:cs="宋体"/>
          <w:b/>
          <w:bCs/>
          <w:sz w:val="48"/>
          <w:szCs w:val="48"/>
        </w:rPr>
        <w:t>内容仅供参考，</w:t>
      </w:r>
      <w:r>
        <w:rPr>
          <w:rFonts w:hint="eastAsia" w:ascii="宋体" w:hAnsi="宋体" w:eastAsia="宋体" w:cs="宋体"/>
          <w:b/>
          <w:bCs/>
          <w:sz w:val="48"/>
          <w:szCs w:val="48"/>
          <w:lang w:val="en-US" w:eastAsia="zh-CN"/>
        </w:rPr>
        <w:t>不权威!不专业!不具参考价值!</w:t>
      </w:r>
      <w:r>
        <w:rPr>
          <w:rFonts w:ascii="宋体" w:hAnsi="宋体" w:eastAsia="宋体" w:cs="宋体"/>
          <w:b/>
          <w:bCs/>
          <w:sz w:val="48"/>
          <w:szCs w:val="48"/>
        </w:rPr>
        <w:t>不代表任何官方立场或科学依据，更不承担任何法律责任</w:t>
      </w:r>
      <w:r>
        <w:rPr>
          <w:rFonts w:hint="eastAsia" w:ascii="宋体" w:hAnsi="宋体" w:eastAsia="宋体" w:cs="宋体"/>
          <w:b/>
          <w:bCs/>
          <w:sz w:val="48"/>
          <w:szCs w:val="48"/>
          <w:lang w:val="en-US" w:eastAsia="zh-CN"/>
        </w:rPr>
        <w:t>!</w:t>
      </w:r>
    </w:p>
    <w:p w14:paraId="3ED52602">
      <w:pPr>
        <w:ind w:firstLine="964" w:firstLineChars="200"/>
        <w:jc w:val="left"/>
        <w:rPr>
          <w:rFonts w:hint="default"/>
          <w:b/>
          <w:bCs/>
          <w:sz w:val="48"/>
          <w:szCs w:val="56"/>
          <w:lang w:val="en-US" w:eastAsia="zh-CN"/>
        </w:rPr>
      </w:pPr>
      <w:r>
        <w:rPr>
          <w:rFonts w:hint="eastAsia"/>
          <w:b/>
          <w:bCs/>
          <w:sz w:val="48"/>
          <w:szCs w:val="56"/>
          <w:lang w:val="en-US" w:eastAsia="zh-CN"/>
        </w:rPr>
        <w:t>另,本篇报告的内容时有删改(我还要用很久),故目录部分存在对标内容不准确的情况且尚未添加页码,见谅.</w:t>
      </w:r>
    </w:p>
    <w:p w14:paraId="0F31FE37">
      <w:pPr>
        <w:jc w:val="center"/>
        <w:rPr>
          <w:rFonts w:hint="default"/>
          <w:b w:val="0"/>
          <w:bCs w:val="0"/>
          <w:sz w:val="32"/>
          <w:szCs w:val="40"/>
          <w:lang w:val="en-US" w:eastAsia="zh-CN"/>
        </w:rPr>
      </w:pPr>
    </w:p>
    <w:p w14:paraId="65232D52">
      <w:pPr>
        <w:jc w:val="both"/>
        <w:rPr>
          <w:rFonts w:hint="default"/>
          <w:b w:val="0"/>
          <w:bCs w:val="0"/>
          <w:sz w:val="32"/>
          <w:szCs w:val="40"/>
          <w:lang w:val="en-US" w:eastAsia="zh-CN"/>
        </w:rPr>
      </w:pPr>
      <w:bookmarkStart w:id="116" w:name="_GoBack"/>
      <w:bookmarkEnd w:id="116"/>
    </w:p>
    <w:p w14:paraId="512A014F">
      <w:pPr>
        <w:jc w:val="left"/>
        <w:rPr>
          <w:rFonts w:hint="default"/>
          <w:b w:val="0"/>
          <w:bCs w:val="0"/>
          <w:sz w:val="32"/>
          <w:szCs w:val="40"/>
          <w:lang w:val="en-US" w:eastAsia="zh-CN"/>
        </w:rPr>
        <w:sectPr>
          <w:pgSz w:w="11906" w:h="16838"/>
          <w:pgMar w:top="1440" w:right="1800" w:bottom="1440" w:left="1800" w:header="851" w:footer="992" w:gutter="0"/>
          <w:cols w:space="425" w:num="1"/>
          <w:docGrid w:type="lines" w:linePitch="312" w:charSpace="0"/>
        </w:sectPr>
      </w:pPr>
    </w:p>
    <w:p w14:paraId="47D4F241">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0" w:name="2ee08e6d85ea4b3a8ede1a73f4a00a1a"/>
      <w:r>
        <w:rPr>
          <w:rFonts w:hint="eastAsia" w:ascii="黑体" w:hAnsi="黑体" w:eastAsia="黑体" w:cs="黑体"/>
          <w:b/>
          <w:i w:val="0"/>
          <w:spacing w:val="0"/>
          <w:sz w:val="32"/>
          <w:szCs w:val="21"/>
          <w:lang w:val="en-US" w:eastAsia="zh-CN"/>
        </w:rPr>
        <w:t>1.</w:t>
      </w:r>
      <w:r>
        <w:rPr>
          <w:rFonts w:hint="eastAsia" w:ascii="黑体" w:hAnsi="黑体" w:eastAsia="黑体" w:cs="黑体"/>
          <w:b/>
          <w:i w:val="0"/>
          <w:spacing w:val="0"/>
          <w:sz w:val="32"/>
          <w:szCs w:val="21"/>
        </w:rPr>
        <w:t>水族造景概述</w:t>
      </w:r>
      <w:bookmarkEnd w:id="0"/>
    </w:p>
    <w:p w14:paraId="64FAC13E">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1" w:name="20f4b48e141849a28c247a1e38afe032"/>
      <w:r>
        <w:rPr>
          <w:rFonts w:hint="eastAsia" w:ascii="黑体" w:hAnsi="黑体" w:eastAsia="黑体" w:cs="黑体"/>
          <w:b/>
          <w:i w:val="0"/>
          <w:spacing w:val="0"/>
          <w:sz w:val="28"/>
          <w:szCs w:val="20"/>
          <w:lang w:val="en-US" w:eastAsia="zh-CN"/>
        </w:rPr>
        <w:t>1.1</w:t>
      </w:r>
      <w:r>
        <w:rPr>
          <w:rFonts w:hint="eastAsia" w:ascii="黑体" w:hAnsi="黑体" w:eastAsia="黑体" w:cs="黑体"/>
          <w:b/>
          <w:i w:val="0"/>
          <w:spacing w:val="0"/>
          <w:sz w:val="28"/>
          <w:szCs w:val="20"/>
        </w:rPr>
        <w:t xml:space="preserve"> 水族造景的定义与分类</w:t>
      </w:r>
      <w:bookmarkEnd w:id="1"/>
    </w:p>
    <w:p w14:paraId="7F52302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default" w:ascii="黑体" w:hAnsi="黑体" w:eastAsia="黑体" w:cs="黑体"/>
          <w:sz w:val="24"/>
          <w:szCs w:val="20"/>
          <w:lang w:val="en-US" w:eastAsia="zh-CN"/>
        </w:rPr>
      </w:pPr>
      <w:bookmarkStart w:id="2" w:name="505bd245-96f0-4471-826e-534a035c5d3e"/>
      <w:r>
        <w:rPr>
          <w:rFonts w:hint="eastAsia" w:ascii="黑体" w:hAnsi="黑体" w:eastAsia="黑体" w:cs="黑体"/>
          <w:b w:val="0"/>
          <w:i w:val="0"/>
          <w:spacing w:val="0"/>
          <w:sz w:val="24"/>
          <w:szCs w:val="20"/>
          <w:lang w:val="en-US" w:eastAsia="zh-CN"/>
        </w:rPr>
        <w:t xml:space="preserve">1.1.1 </w:t>
      </w:r>
      <w:r>
        <w:rPr>
          <w:rFonts w:hint="eastAsia" w:ascii="黑体" w:hAnsi="黑体" w:eastAsia="黑体" w:cs="黑体"/>
          <w:b w:val="0"/>
          <w:i w:val="0"/>
          <w:spacing w:val="0"/>
          <w:sz w:val="24"/>
          <w:szCs w:val="20"/>
        </w:rPr>
        <w:t>水族造景的概念</w:t>
      </w:r>
      <w:bookmarkEnd w:id="2"/>
      <w:r>
        <w:rPr>
          <w:rFonts w:hint="eastAsia" w:ascii="黑体" w:hAnsi="黑体" w:eastAsia="黑体" w:cs="黑体"/>
          <w:b w:val="0"/>
          <w:i w:val="0"/>
          <w:spacing w:val="0"/>
          <w:sz w:val="24"/>
          <w:szCs w:val="20"/>
          <w:lang w:val="en-US" w:eastAsia="zh-CN"/>
        </w:rPr>
        <w:tab/>
      </w:r>
    </w:p>
    <w:p w14:paraId="58B595BA">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3" w:name="f626c585-7696-423b-9fa1-808a72e14d90"/>
      <w:r>
        <w:rPr>
          <w:rFonts w:hint="eastAsia" w:ascii="黑体" w:hAnsi="黑体" w:eastAsia="黑体" w:cs="黑体"/>
          <w:b w:val="0"/>
          <w:i w:val="0"/>
          <w:spacing w:val="0"/>
          <w:sz w:val="24"/>
          <w:szCs w:val="20"/>
          <w:lang w:val="en-US" w:eastAsia="zh-CN"/>
        </w:rPr>
        <w:t xml:space="preserve">1.1.2 </w:t>
      </w:r>
      <w:r>
        <w:rPr>
          <w:rFonts w:hint="eastAsia" w:ascii="黑体" w:hAnsi="黑体" w:eastAsia="黑体" w:cs="黑体"/>
          <w:b w:val="0"/>
          <w:i w:val="0"/>
          <w:spacing w:val="0"/>
          <w:sz w:val="24"/>
          <w:szCs w:val="20"/>
        </w:rPr>
        <w:t>主要风格分类（自然风格、荷兰式、日式、ADA风格等）</w:t>
      </w:r>
      <w:bookmarkEnd w:id="3"/>
      <w:r>
        <w:rPr>
          <w:rFonts w:hint="eastAsia" w:ascii="黑体" w:hAnsi="黑体" w:eastAsia="黑体" w:cs="黑体"/>
          <w:b w:val="0"/>
          <w:i w:val="0"/>
          <w:spacing w:val="0"/>
          <w:sz w:val="24"/>
          <w:szCs w:val="20"/>
          <w:lang w:val="en-US" w:eastAsia="zh-CN"/>
        </w:rPr>
        <w:tab/>
      </w:r>
    </w:p>
    <w:p w14:paraId="4D78962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default" w:ascii="黑体" w:hAnsi="黑体" w:eastAsia="黑体" w:cs="黑体"/>
          <w:b w:val="0"/>
          <w:i w:val="0"/>
          <w:spacing w:val="0"/>
          <w:sz w:val="24"/>
          <w:szCs w:val="20"/>
          <w:lang w:val="en-US" w:eastAsia="zh-CN"/>
        </w:rPr>
      </w:pPr>
      <w:bookmarkStart w:id="4" w:name="980e641d-b62a-4cbb-9ebc-4294d5a52377"/>
      <w:r>
        <w:rPr>
          <w:rFonts w:hint="eastAsia" w:ascii="黑体" w:hAnsi="黑体" w:eastAsia="黑体" w:cs="黑体"/>
          <w:b w:val="0"/>
          <w:i w:val="0"/>
          <w:spacing w:val="0"/>
          <w:sz w:val="24"/>
          <w:szCs w:val="20"/>
          <w:lang w:val="en-US" w:eastAsia="zh-CN"/>
        </w:rPr>
        <w:t xml:space="preserve">1.1.3 </w:t>
      </w:r>
      <w:r>
        <w:rPr>
          <w:rFonts w:hint="eastAsia" w:ascii="黑体" w:hAnsi="黑体" w:eastAsia="黑体" w:cs="黑体"/>
          <w:b w:val="0"/>
          <w:i w:val="0"/>
          <w:spacing w:val="0"/>
          <w:sz w:val="24"/>
          <w:szCs w:val="20"/>
        </w:rPr>
        <w:t>应用场景（家庭、商业、公共空间）
</w:t>
      </w:r>
      <w:r>
        <w:rPr>
          <w:rFonts w:hint="eastAsia" w:ascii="黑体" w:hAnsi="黑体" w:eastAsia="黑体" w:cs="黑体"/>
          <w:b w:val="0"/>
          <w:i w:val="0"/>
          <w:spacing w:val="0"/>
          <w:sz w:val="24"/>
          <w:szCs w:val="20"/>
          <w:lang w:val="en-US" w:eastAsia="zh-CN"/>
        </w:rPr>
        <w:tab/>
      </w:r>
    </w:p>
    <w:p w14:paraId="29B2D75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lang w:val="en-US" w:eastAsia="zh-CN"/>
        </w:rPr>
        <w:t>1.2</w:t>
      </w:r>
      <w:r>
        <w:rPr>
          <w:rFonts w:hint="eastAsia" w:ascii="黑体" w:hAnsi="黑体" w:eastAsia="黑体" w:cs="黑体"/>
          <w:b/>
          <w:bCs/>
          <w:i w:val="0"/>
          <w:spacing w:val="0"/>
          <w:sz w:val="28"/>
          <w:szCs w:val="21"/>
        </w:rPr>
        <w:t xml:space="preserve"> 水族造景的发展历程</w:t>
      </w:r>
      <w:bookmarkEnd w:id="4"/>
    </w:p>
    <w:p w14:paraId="081D9D2E">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5" w:name="7462e296-f90e-4384-8175-59a40277cae8"/>
      <w:r>
        <w:rPr>
          <w:rFonts w:hint="eastAsia" w:ascii="黑体" w:hAnsi="黑体" w:eastAsia="黑体" w:cs="黑体"/>
          <w:b w:val="0"/>
          <w:i w:val="0"/>
          <w:spacing w:val="0"/>
          <w:sz w:val="24"/>
          <w:szCs w:val="20"/>
          <w:lang w:val="en-US" w:eastAsia="zh-CN"/>
        </w:rPr>
        <w:t xml:space="preserve">1.2.1 </w:t>
      </w:r>
      <w:r>
        <w:rPr>
          <w:rFonts w:hint="eastAsia" w:ascii="黑体" w:hAnsi="黑体" w:eastAsia="黑体" w:cs="黑体"/>
          <w:b w:val="0"/>
          <w:i w:val="0"/>
          <w:spacing w:val="0"/>
          <w:sz w:val="24"/>
          <w:szCs w:val="20"/>
        </w:rPr>
        <w:t>起源与早期发展</w:t>
      </w:r>
      <w:bookmarkEnd w:id="5"/>
      <w:r>
        <w:rPr>
          <w:rFonts w:hint="eastAsia" w:ascii="黑体" w:hAnsi="黑体" w:eastAsia="黑体" w:cs="黑体"/>
          <w:b w:val="0"/>
          <w:i w:val="0"/>
          <w:spacing w:val="0"/>
          <w:sz w:val="24"/>
          <w:szCs w:val="20"/>
          <w:lang w:val="en-US" w:eastAsia="zh-CN"/>
        </w:rPr>
        <w:tab/>
      </w:r>
    </w:p>
    <w:p w14:paraId="2EE0DDCA">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6" w:name="d5e0e50c-2e9a-426a-973b-a2b0ed811bb5"/>
      <w:r>
        <w:rPr>
          <w:rFonts w:hint="eastAsia" w:ascii="黑体" w:hAnsi="黑体" w:eastAsia="黑体" w:cs="黑体"/>
          <w:b w:val="0"/>
          <w:i w:val="0"/>
          <w:spacing w:val="0"/>
          <w:sz w:val="24"/>
          <w:szCs w:val="20"/>
          <w:lang w:val="en-US" w:eastAsia="zh-CN"/>
        </w:rPr>
        <w:t xml:space="preserve">1.2.2 </w:t>
      </w:r>
      <w:r>
        <w:rPr>
          <w:rFonts w:hint="eastAsia" w:ascii="黑体" w:hAnsi="黑体" w:eastAsia="黑体" w:cs="黑体"/>
          <w:b w:val="0"/>
          <w:i w:val="0"/>
          <w:spacing w:val="0"/>
          <w:sz w:val="24"/>
          <w:szCs w:val="20"/>
        </w:rPr>
        <w:t>现代水族造景的演变</w:t>
      </w:r>
      <w:bookmarkEnd w:id="6"/>
      <w:r>
        <w:rPr>
          <w:rFonts w:hint="eastAsia" w:ascii="黑体" w:hAnsi="黑体" w:eastAsia="黑体" w:cs="黑体"/>
          <w:b w:val="0"/>
          <w:i w:val="0"/>
          <w:spacing w:val="0"/>
          <w:sz w:val="24"/>
          <w:szCs w:val="20"/>
          <w:lang w:val="en-US" w:eastAsia="zh-CN"/>
        </w:rPr>
        <w:tab/>
      </w:r>
    </w:p>
    <w:p w14:paraId="1D2B9B31">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b w:val="0"/>
          <w:i w:val="0"/>
          <w:spacing w:val="0"/>
          <w:sz w:val="24"/>
          <w:szCs w:val="20"/>
          <w:lang w:val="en-US" w:eastAsia="zh-CN"/>
        </w:rPr>
      </w:pPr>
      <w:bookmarkStart w:id="7" w:name="a2d30eec-0af8-4c94-b134-3881e0ea3f45"/>
      <w:r>
        <w:rPr>
          <w:rFonts w:hint="eastAsia" w:ascii="黑体" w:hAnsi="黑体" w:eastAsia="黑体" w:cs="黑体"/>
          <w:b w:val="0"/>
          <w:i w:val="0"/>
          <w:spacing w:val="0"/>
          <w:sz w:val="24"/>
          <w:szCs w:val="20"/>
          <w:lang w:val="en-US" w:eastAsia="zh-CN"/>
        </w:rPr>
        <w:t xml:space="preserve">1.2.3 </w:t>
      </w:r>
      <w:r>
        <w:rPr>
          <w:rFonts w:hint="eastAsia" w:ascii="黑体" w:hAnsi="黑体" w:eastAsia="黑体" w:cs="黑体"/>
          <w:b w:val="0"/>
          <w:i w:val="0"/>
          <w:spacing w:val="0"/>
          <w:sz w:val="24"/>
          <w:szCs w:val="20"/>
        </w:rPr>
        <w:t>国际与国内现状对比
</w:t>
      </w:r>
      <w:r>
        <w:rPr>
          <w:rFonts w:hint="eastAsia" w:ascii="黑体" w:hAnsi="黑体" w:eastAsia="黑体" w:cs="黑体"/>
          <w:b w:val="0"/>
          <w:i w:val="0"/>
          <w:spacing w:val="0"/>
          <w:sz w:val="24"/>
          <w:szCs w:val="20"/>
          <w:lang w:val="en-US" w:eastAsia="zh-CN"/>
        </w:rPr>
        <w:tab/>
      </w:r>
    </w:p>
    <w:p w14:paraId="3AFAFCEC">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1.3 水族造景的重要性与价值</w:t>
      </w:r>
      <w:bookmarkEnd w:id="7"/>
    </w:p>
    <w:p w14:paraId="7D473CF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8" w:name="9612b243-2af5-4d72-8c93-fe1782b9b3ca"/>
      <w:r>
        <w:rPr>
          <w:rFonts w:hint="eastAsia" w:ascii="黑体" w:hAnsi="黑体" w:eastAsia="黑体" w:cs="黑体"/>
          <w:b w:val="0"/>
          <w:i w:val="0"/>
          <w:spacing w:val="0"/>
          <w:sz w:val="24"/>
          <w:szCs w:val="20"/>
          <w:lang w:val="en-US" w:eastAsia="zh-CN"/>
        </w:rPr>
        <w:t xml:space="preserve">1.3.1 </w:t>
      </w:r>
      <w:r>
        <w:rPr>
          <w:rFonts w:hint="eastAsia" w:ascii="黑体" w:hAnsi="黑体" w:eastAsia="黑体" w:cs="黑体"/>
          <w:b w:val="0"/>
          <w:i w:val="0"/>
          <w:spacing w:val="0"/>
          <w:sz w:val="24"/>
          <w:szCs w:val="20"/>
        </w:rPr>
        <w:t>生态价值</w:t>
      </w:r>
      <w:bookmarkEnd w:id="8"/>
      <w:r>
        <w:rPr>
          <w:rFonts w:hint="eastAsia" w:ascii="黑体" w:hAnsi="黑体" w:eastAsia="黑体" w:cs="黑体"/>
          <w:b w:val="0"/>
          <w:i w:val="0"/>
          <w:spacing w:val="0"/>
          <w:sz w:val="24"/>
          <w:szCs w:val="20"/>
          <w:lang w:val="en-US" w:eastAsia="zh-CN"/>
        </w:rPr>
        <w:tab/>
      </w:r>
    </w:p>
    <w:p w14:paraId="5EE4788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9" w:name="ea369a96-0c9d-4ecf-8f78-eeb721814a9a"/>
      <w:r>
        <w:rPr>
          <w:rFonts w:hint="eastAsia" w:ascii="黑体" w:hAnsi="黑体" w:eastAsia="黑体" w:cs="黑体"/>
          <w:b w:val="0"/>
          <w:i w:val="0"/>
          <w:spacing w:val="0"/>
          <w:sz w:val="24"/>
          <w:szCs w:val="20"/>
          <w:lang w:val="en-US" w:eastAsia="zh-CN"/>
        </w:rPr>
        <w:t xml:space="preserve">1.3.2 </w:t>
      </w:r>
      <w:r>
        <w:rPr>
          <w:rFonts w:hint="eastAsia" w:ascii="黑体" w:hAnsi="黑体" w:eastAsia="黑体" w:cs="黑体"/>
          <w:b w:val="0"/>
          <w:i w:val="0"/>
          <w:spacing w:val="0"/>
          <w:sz w:val="24"/>
          <w:szCs w:val="20"/>
        </w:rPr>
        <w:t>美学价值</w:t>
      </w:r>
      <w:bookmarkEnd w:id="9"/>
      <w:r>
        <w:rPr>
          <w:rFonts w:hint="eastAsia" w:ascii="黑体" w:hAnsi="黑体" w:eastAsia="黑体" w:cs="黑体"/>
          <w:b w:val="0"/>
          <w:i w:val="0"/>
          <w:spacing w:val="0"/>
          <w:sz w:val="24"/>
          <w:szCs w:val="20"/>
          <w:lang w:val="en-US" w:eastAsia="zh-CN"/>
        </w:rPr>
        <w:tab/>
      </w:r>
    </w:p>
    <w:p w14:paraId="75824BBE">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10" w:name="84c46563-4a63-4861-9805-33999ff4c39a"/>
      <w:r>
        <w:rPr>
          <w:rFonts w:hint="eastAsia" w:ascii="黑体" w:hAnsi="黑体" w:eastAsia="黑体" w:cs="黑体"/>
          <w:b w:val="0"/>
          <w:i w:val="0"/>
          <w:spacing w:val="0"/>
          <w:sz w:val="24"/>
          <w:szCs w:val="20"/>
          <w:lang w:val="en-US" w:eastAsia="zh-CN"/>
        </w:rPr>
        <w:t xml:space="preserve">1.3.3 </w:t>
      </w:r>
      <w:r>
        <w:rPr>
          <w:rFonts w:hint="eastAsia" w:ascii="黑体" w:hAnsi="黑体" w:eastAsia="黑体" w:cs="黑体"/>
          <w:b w:val="0"/>
          <w:i w:val="0"/>
          <w:spacing w:val="0"/>
          <w:sz w:val="24"/>
          <w:szCs w:val="20"/>
        </w:rPr>
        <w:t>教育价值</w:t>
      </w:r>
      <w:bookmarkEnd w:id="10"/>
      <w:r>
        <w:rPr>
          <w:rFonts w:hint="eastAsia" w:ascii="黑体" w:hAnsi="黑体" w:eastAsia="黑体" w:cs="黑体"/>
          <w:b w:val="0"/>
          <w:i w:val="0"/>
          <w:spacing w:val="0"/>
          <w:sz w:val="24"/>
          <w:szCs w:val="20"/>
          <w:lang w:val="en-US" w:eastAsia="zh-CN"/>
        </w:rPr>
        <w:tab/>
      </w:r>
    </w:p>
    <w:p w14:paraId="0287AF45">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0"/>
          <w:lang w:val="en-US" w:eastAsia="zh-CN"/>
        </w:rPr>
      </w:pPr>
      <w:bookmarkStart w:id="11" w:name="253dc13d-1902-4152-9133-ff31f6585c94"/>
      <w:r>
        <w:rPr>
          <w:rFonts w:hint="eastAsia" w:ascii="黑体" w:hAnsi="黑体" w:eastAsia="黑体" w:cs="黑体"/>
          <w:b w:val="0"/>
          <w:i w:val="0"/>
          <w:spacing w:val="0"/>
          <w:sz w:val="24"/>
          <w:szCs w:val="20"/>
          <w:lang w:val="en-US" w:eastAsia="zh-CN"/>
        </w:rPr>
        <w:t xml:space="preserve">1.3.4 </w:t>
      </w:r>
      <w:r>
        <w:rPr>
          <w:rFonts w:hint="eastAsia" w:ascii="黑体" w:hAnsi="黑体" w:eastAsia="黑体" w:cs="黑体"/>
          <w:b w:val="0"/>
          <w:i w:val="0"/>
          <w:spacing w:val="0"/>
          <w:sz w:val="24"/>
          <w:szCs w:val="20"/>
        </w:rPr>
        <w:t>经济价值</w:t>
      </w:r>
      <w:bookmarkEnd w:id="11"/>
      <w:r>
        <w:rPr>
          <w:rFonts w:hint="eastAsia" w:ascii="黑体" w:hAnsi="黑体" w:eastAsia="黑体" w:cs="黑体"/>
          <w:b w:val="0"/>
          <w:i w:val="0"/>
          <w:spacing w:val="0"/>
          <w:sz w:val="24"/>
          <w:szCs w:val="20"/>
          <w:lang w:val="en-US" w:eastAsia="zh-CN"/>
        </w:rPr>
        <w:tab/>
      </w:r>
    </w:p>
    <w:p w14:paraId="1E2FAA80">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12" w:name="beff3a2b680a4abbafe718dd588c20fd"/>
      <w:r>
        <w:rPr>
          <w:rFonts w:hint="eastAsia" w:ascii="黑体" w:hAnsi="黑体" w:eastAsia="黑体" w:cs="黑体"/>
          <w:b/>
          <w:i w:val="0"/>
          <w:spacing w:val="0"/>
          <w:sz w:val="32"/>
          <w:szCs w:val="21"/>
          <w:lang w:val="en-US" w:eastAsia="zh-CN"/>
        </w:rPr>
        <w:t>2.</w:t>
      </w:r>
      <w:r>
        <w:rPr>
          <w:rFonts w:hint="eastAsia" w:ascii="黑体" w:hAnsi="黑体" w:eastAsia="黑体" w:cs="黑体"/>
          <w:b/>
          <w:i w:val="0"/>
          <w:spacing w:val="0"/>
          <w:sz w:val="32"/>
          <w:szCs w:val="21"/>
        </w:rPr>
        <w:t>水族造景设计原理</w:t>
      </w:r>
      <w:bookmarkEnd w:id="12"/>
    </w:p>
    <w:p w14:paraId="3CEDF387">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13" w:name="4a4c95b8b473413eb9bb72a78d6eaa13"/>
      <w:r>
        <w:rPr>
          <w:rFonts w:hint="eastAsia" w:ascii="黑体" w:hAnsi="黑体" w:eastAsia="黑体" w:cs="黑体"/>
          <w:b/>
          <w:i w:val="0"/>
          <w:spacing w:val="0"/>
          <w:sz w:val="28"/>
          <w:szCs w:val="20"/>
        </w:rPr>
        <w:t>2.1 美学设计原则</w:t>
      </w:r>
      <w:bookmarkEnd w:id="13"/>
    </w:p>
    <w:p w14:paraId="019B6E8A">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14" w:name="338765f1-6547-4b7d-8a2b-929e6a2f7e3e"/>
      <w:r>
        <w:rPr>
          <w:rFonts w:hint="eastAsia" w:ascii="黑体" w:hAnsi="黑体" w:eastAsia="黑体" w:cs="黑体"/>
          <w:b w:val="0"/>
          <w:i w:val="0"/>
          <w:spacing w:val="0"/>
          <w:sz w:val="24"/>
          <w:szCs w:val="20"/>
          <w:lang w:val="en-US" w:eastAsia="zh-CN"/>
        </w:rPr>
        <w:t xml:space="preserve">2.1.1 </w:t>
      </w:r>
      <w:r>
        <w:rPr>
          <w:rFonts w:hint="eastAsia" w:ascii="黑体" w:hAnsi="黑体" w:eastAsia="黑体" w:cs="黑体"/>
          <w:b w:val="0"/>
          <w:i w:val="0"/>
          <w:spacing w:val="0"/>
          <w:sz w:val="24"/>
          <w:szCs w:val="20"/>
        </w:rPr>
        <w:t>布局与构图（黄金分割、三角构图等）</w:t>
      </w:r>
      <w:bookmarkEnd w:id="14"/>
      <w:r>
        <w:rPr>
          <w:rFonts w:hint="eastAsia" w:ascii="黑体" w:hAnsi="黑体" w:eastAsia="黑体" w:cs="黑体"/>
          <w:b w:val="0"/>
          <w:i w:val="0"/>
          <w:spacing w:val="0"/>
          <w:sz w:val="24"/>
          <w:szCs w:val="20"/>
          <w:lang w:val="en-US" w:eastAsia="zh-CN"/>
        </w:rPr>
        <w:tab/>
      </w:r>
    </w:p>
    <w:p w14:paraId="45761E49">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15" w:name="81492d73-b931-4487-a878-a703f7b3b308"/>
      <w:r>
        <w:rPr>
          <w:rFonts w:hint="eastAsia" w:ascii="黑体" w:hAnsi="黑体" w:eastAsia="黑体" w:cs="黑体"/>
          <w:b w:val="0"/>
          <w:i w:val="0"/>
          <w:spacing w:val="0"/>
          <w:sz w:val="24"/>
          <w:szCs w:val="20"/>
          <w:lang w:val="en-US" w:eastAsia="zh-CN"/>
        </w:rPr>
        <w:t xml:space="preserve">2.1.2 </w:t>
      </w:r>
      <w:r>
        <w:rPr>
          <w:rFonts w:hint="eastAsia" w:ascii="黑体" w:hAnsi="黑体" w:eastAsia="黑体" w:cs="黑体"/>
          <w:b w:val="0"/>
          <w:i w:val="0"/>
          <w:spacing w:val="0"/>
          <w:sz w:val="24"/>
          <w:szCs w:val="20"/>
        </w:rPr>
        <w:t>色彩搭配与视觉层次</w:t>
      </w:r>
      <w:bookmarkEnd w:id="15"/>
      <w:r>
        <w:rPr>
          <w:rFonts w:hint="eastAsia" w:ascii="黑体" w:hAnsi="黑体" w:eastAsia="黑体" w:cs="黑体"/>
          <w:b w:val="0"/>
          <w:i w:val="0"/>
          <w:spacing w:val="0"/>
          <w:sz w:val="24"/>
          <w:szCs w:val="20"/>
          <w:lang w:val="en-US" w:eastAsia="zh-CN"/>
        </w:rPr>
        <w:tab/>
      </w:r>
    </w:p>
    <w:p w14:paraId="6C6EC16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16" w:name="a8470421-e8fe-4c67-8b5b-68be488c4baa"/>
      <w:r>
        <w:rPr>
          <w:rFonts w:hint="eastAsia" w:ascii="黑体" w:hAnsi="黑体" w:eastAsia="黑体" w:cs="黑体"/>
          <w:b w:val="0"/>
          <w:i w:val="0"/>
          <w:spacing w:val="0"/>
          <w:sz w:val="24"/>
          <w:szCs w:val="20"/>
          <w:lang w:val="en-US" w:eastAsia="zh-CN"/>
        </w:rPr>
        <w:t xml:space="preserve">2.1.3 </w:t>
      </w:r>
      <w:r>
        <w:rPr>
          <w:rFonts w:hint="eastAsia" w:ascii="黑体" w:hAnsi="黑体" w:eastAsia="黑体" w:cs="黑体"/>
          <w:b w:val="0"/>
          <w:i w:val="0"/>
          <w:spacing w:val="0"/>
          <w:sz w:val="24"/>
          <w:szCs w:val="20"/>
        </w:rPr>
        <w:t>材质与纹理的协调</w:t>
      </w:r>
      <w:bookmarkEnd w:id="16"/>
      <w:r>
        <w:rPr>
          <w:rFonts w:hint="eastAsia" w:ascii="黑体" w:hAnsi="黑体" w:eastAsia="黑体" w:cs="黑体"/>
          <w:b w:val="0"/>
          <w:i w:val="0"/>
          <w:spacing w:val="0"/>
          <w:sz w:val="24"/>
          <w:szCs w:val="20"/>
          <w:lang w:val="en-US" w:eastAsia="zh-CN"/>
        </w:rPr>
        <w:tab/>
      </w:r>
    </w:p>
    <w:p w14:paraId="0515B00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17" w:name="ac11976e-5fbc-41af-854f-0d13ca9306bc"/>
      <w:r>
        <w:rPr>
          <w:rFonts w:hint="eastAsia" w:ascii="黑体" w:hAnsi="黑体" w:eastAsia="黑体" w:cs="黑体"/>
          <w:b w:val="0"/>
          <w:i w:val="0"/>
          <w:spacing w:val="0"/>
          <w:sz w:val="24"/>
          <w:szCs w:val="20"/>
          <w:lang w:val="en-US" w:eastAsia="zh-CN"/>
        </w:rPr>
        <w:t xml:space="preserve">2.1.4 </w:t>
      </w:r>
      <w:r>
        <w:rPr>
          <w:rFonts w:hint="eastAsia" w:ascii="黑体" w:hAnsi="黑体" w:eastAsia="黑体" w:cs="黑体"/>
          <w:b w:val="0"/>
          <w:i w:val="0"/>
          <w:spacing w:val="0"/>
          <w:sz w:val="24"/>
          <w:szCs w:val="20"/>
        </w:rPr>
        <w:t>比例与尺度控制
</w:t>
      </w:r>
      <w:r>
        <w:rPr>
          <w:rFonts w:hint="eastAsia" w:ascii="黑体" w:hAnsi="黑体" w:eastAsia="黑体" w:cs="黑体"/>
          <w:b w:val="0"/>
          <w:i w:val="0"/>
          <w:spacing w:val="0"/>
          <w:sz w:val="24"/>
          <w:szCs w:val="20"/>
          <w:lang w:val="en-US" w:eastAsia="zh-CN"/>
        </w:rPr>
        <w:tab/>
      </w:r>
    </w:p>
    <w:p w14:paraId="624DDD5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2.2 生态设计原则</w:t>
      </w:r>
      <w:bookmarkEnd w:id="17"/>
    </w:p>
    <w:p w14:paraId="601CF65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18" w:name="384706fc-c464-4539-ac70-66fde0fc1ea6"/>
      <w:r>
        <w:rPr>
          <w:rFonts w:hint="eastAsia" w:ascii="黑体" w:hAnsi="黑体" w:eastAsia="黑体" w:cs="黑体"/>
          <w:b w:val="0"/>
          <w:i w:val="0"/>
          <w:spacing w:val="0"/>
          <w:sz w:val="24"/>
          <w:szCs w:val="20"/>
          <w:lang w:val="en-US" w:eastAsia="zh-CN"/>
        </w:rPr>
        <w:t xml:space="preserve">2.2.1 </w:t>
      </w:r>
      <w:r>
        <w:rPr>
          <w:rFonts w:hint="eastAsia" w:ascii="黑体" w:hAnsi="黑体" w:eastAsia="黑体" w:cs="黑体"/>
          <w:b w:val="0"/>
          <w:i w:val="0"/>
          <w:spacing w:val="0"/>
          <w:sz w:val="24"/>
          <w:szCs w:val="20"/>
        </w:rPr>
        <w:t>生物共生系统构建</w:t>
      </w:r>
      <w:bookmarkEnd w:id="18"/>
      <w:r>
        <w:rPr>
          <w:rFonts w:hint="eastAsia" w:ascii="黑体" w:hAnsi="黑体" w:eastAsia="黑体" w:cs="黑体"/>
          <w:b w:val="0"/>
          <w:i w:val="0"/>
          <w:spacing w:val="0"/>
          <w:sz w:val="24"/>
          <w:szCs w:val="20"/>
          <w:lang w:val="en-US" w:eastAsia="zh-CN"/>
        </w:rPr>
        <w:tab/>
      </w:r>
    </w:p>
    <w:p w14:paraId="6C22B48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19" w:name="c594075f-8404-4057-a900-167669be88e0"/>
      <w:r>
        <w:rPr>
          <w:rFonts w:hint="eastAsia" w:ascii="黑体" w:hAnsi="黑体" w:eastAsia="黑体" w:cs="黑体"/>
          <w:b w:val="0"/>
          <w:i w:val="0"/>
          <w:spacing w:val="0"/>
          <w:sz w:val="24"/>
          <w:szCs w:val="20"/>
          <w:lang w:val="en-US" w:eastAsia="zh-CN"/>
        </w:rPr>
        <w:t xml:space="preserve">2.2.2 </w:t>
      </w:r>
      <w:r>
        <w:rPr>
          <w:rFonts w:hint="eastAsia" w:ascii="黑体" w:hAnsi="黑体" w:eastAsia="黑体" w:cs="黑体"/>
          <w:b w:val="0"/>
          <w:i w:val="0"/>
          <w:spacing w:val="0"/>
          <w:sz w:val="24"/>
          <w:szCs w:val="20"/>
        </w:rPr>
        <w:t>水质参数与生态平衡</w:t>
      </w:r>
      <w:bookmarkEnd w:id="19"/>
      <w:r>
        <w:rPr>
          <w:rFonts w:hint="eastAsia" w:ascii="黑体" w:hAnsi="黑体" w:eastAsia="黑体" w:cs="黑体"/>
          <w:b w:val="0"/>
          <w:i w:val="0"/>
          <w:spacing w:val="0"/>
          <w:sz w:val="24"/>
          <w:szCs w:val="20"/>
          <w:lang w:val="en-US" w:eastAsia="zh-CN"/>
        </w:rPr>
        <w:tab/>
      </w:r>
    </w:p>
    <w:p w14:paraId="23A95304">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0" w:name="dd26ab0d-fe35-431e-b2a0-cb1c3e887a24"/>
      <w:r>
        <w:rPr>
          <w:rFonts w:hint="eastAsia" w:ascii="黑体" w:hAnsi="黑体" w:eastAsia="黑体" w:cs="黑体"/>
          <w:b w:val="0"/>
          <w:i w:val="0"/>
          <w:spacing w:val="0"/>
          <w:sz w:val="24"/>
          <w:szCs w:val="20"/>
          <w:lang w:val="en-US" w:eastAsia="zh-CN"/>
        </w:rPr>
        <w:t xml:space="preserve">2.2.3 </w:t>
      </w:r>
      <w:r>
        <w:rPr>
          <w:rFonts w:hint="eastAsia" w:ascii="黑体" w:hAnsi="黑体" w:eastAsia="黑体" w:cs="黑体"/>
          <w:b w:val="0"/>
          <w:i w:val="0"/>
          <w:spacing w:val="0"/>
          <w:sz w:val="24"/>
          <w:szCs w:val="20"/>
        </w:rPr>
        <w:t>植物与微生物的作用</w:t>
      </w:r>
      <w:bookmarkEnd w:id="20"/>
      <w:r>
        <w:rPr>
          <w:rFonts w:hint="eastAsia" w:ascii="黑体" w:hAnsi="黑体" w:eastAsia="黑体" w:cs="黑体"/>
          <w:b w:val="0"/>
          <w:i w:val="0"/>
          <w:spacing w:val="0"/>
          <w:sz w:val="24"/>
          <w:szCs w:val="20"/>
          <w:lang w:val="en-US" w:eastAsia="zh-CN"/>
        </w:rPr>
        <w:tab/>
      </w:r>
    </w:p>
    <w:p w14:paraId="774CE5E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1" w:name="7c21e659-a0be-4b42-b2f4-609f5ec8f602"/>
      <w:r>
        <w:rPr>
          <w:rFonts w:hint="eastAsia" w:ascii="黑体" w:hAnsi="黑体" w:eastAsia="黑体" w:cs="黑体"/>
          <w:b w:val="0"/>
          <w:i w:val="0"/>
          <w:spacing w:val="0"/>
          <w:sz w:val="24"/>
          <w:szCs w:val="20"/>
          <w:lang w:val="en-US" w:eastAsia="zh-CN"/>
        </w:rPr>
        <w:t xml:space="preserve">2.2.4 </w:t>
      </w:r>
      <w:r>
        <w:rPr>
          <w:rFonts w:hint="eastAsia" w:ascii="黑体" w:hAnsi="黑体" w:eastAsia="黑体" w:cs="黑体"/>
          <w:b w:val="0"/>
          <w:i w:val="0"/>
          <w:spacing w:val="0"/>
          <w:sz w:val="24"/>
          <w:szCs w:val="20"/>
        </w:rPr>
        <w:t>鱼类与其他生物的选择与适配
</w:t>
      </w:r>
      <w:r>
        <w:rPr>
          <w:rFonts w:hint="eastAsia" w:ascii="黑体" w:hAnsi="黑体" w:eastAsia="黑体" w:cs="黑体"/>
          <w:b w:val="0"/>
          <w:i w:val="0"/>
          <w:spacing w:val="0"/>
          <w:sz w:val="24"/>
          <w:szCs w:val="20"/>
          <w:lang w:val="en-US" w:eastAsia="zh-CN"/>
        </w:rPr>
        <w:tab/>
      </w:r>
    </w:p>
    <w:p w14:paraId="5E5EC00C">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2.3 功能性设计</w:t>
      </w:r>
      <w:bookmarkEnd w:id="21"/>
    </w:p>
    <w:p w14:paraId="6781C6A8">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2" w:name="e572175a-86ea-4162-a2e5-e06717653703"/>
      <w:r>
        <w:rPr>
          <w:rFonts w:hint="eastAsia" w:ascii="黑体" w:hAnsi="黑体" w:eastAsia="黑体" w:cs="黑体"/>
          <w:b w:val="0"/>
          <w:i w:val="0"/>
          <w:spacing w:val="0"/>
          <w:sz w:val="24"/>
          <w:szCs w:val="20"/>
          <w:lang w:val="en-US" w:eastAsia="zh-CN"/>
        </w:rPr>
        <w:t xml:space="preserve">2.3.1 </w:t>
      </w:r>
      <w:r>
        <w:rPr>
          <w:rFonts w:hint="eastAsia" w:ascii="黑体" w:hAnsi="黑体" w:eastAsia="黑体" w:cs="黑体"/>
          <w:b w:val="0"/>
          <w:i w:val="0"/>
          <w:spacing w:val="0"/>
          <w:sz w:val="24"/>
          <w:szCs w:val="20"/>
        </w:rPr>
        <w:t>设备布局与隐藏技巧</w:t>
      </w:r>
      <w:bookmarkEnd w:id="22"/>
      <w:r>
        <w:rPr>
          <w:rFonts w:hint="eastAsia" w:ascii="黑体" w:hAnsi="黑体" w:eastAsia="黑体" w:cs="黑体"/>
          <w:b w:val="0"/>
          <w:i w:val="0"/>
          <w:spacing w:val="0"/>
          <w:sz w:val="24"/>
          <w:szCs w:val="20"/>
          <w:lang w:val="en-US" w:eastAsia="zh-CN"/>
        </w:rPr>
        <w:tab/>
      </w:r>
    </w:p>
    <w:p w14:paraId="5C4E44C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3" w:name="f7fb34a9-6889-4f21-85b0-b277bb08fe22"/>
      <w:r>
        <w:rPr>
          <w:rFonts w:hint="eastAsia" w:ascii="黑体" w:hAnsi="黑体" w:eastAsia="黑体" w:cs="黑体"/>
          <w:b w:val="0"/>
          <w:i w:val="0"/>
          <w:spacing w:val="0"/>
          <w:sz w:val="24"/>
          <w:szCs w:val="20"/>
          <w:lang w:val="en-US" w:eastAsia="zh-CN"/>
        </w:rPr>
        <w:t xml:space="preserve">2.3.2 </w:t>
      </w:r>
      <w:r>
        <w:rPr>
          <w:rFonts w:hint="eastAsia" w:ascii="黑体" w:hAnsi="黑体" w:eastAsia="黑体" w:cs="黑体"/>
          <w:b w:val="0"/>
          <w:i w:val="0"/>
          <w:spacing w:val="0"/>
          <w:sz w:val="24"/>
          <w:szCs w:val="20"/>
        </w:rPr>
        <w:t>维护便利性设计</w:t>
      </w:r>
      <w:bookmarkEnd w:id="23"/>
      <w:r>
        <w:rPr>
          <w:rFonts w:hint="eastAsia" w:ascii="黑体" w:hAnsi="黑体" w:eastAsia="黑体" w:cs="黑体"/>
          <w:b w:val="0"/>
          <w:i w:val="0"/>
          <w:spacing w:val="0"/>
          <w:sz w:val="24"/>
          <w:szCs w:val="20"/>
          <w:lang w:val="en-US" w:eastAsia="zh-CN"/>
        </w:rPr>
        <w:tab/>
      </w:r>
    </w:p>
    <w:p w14:paraId="6A6A8359">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4" w:name="04158c73-6391-4bcf-bfbc-82a5f6420845"/>
      <w:r>
        <w:rPr>
          <w:rFonts w:hint="eastAsia" w:ascii="黑体" w:hAnsi="黑体" w:eastAsia="黑体" w:cs="黑体"/>
          <w:b w:val="0"/>
          <w:i w:val="0"/>
          <w:spacing w:val="0"/>
          <w:sz w:val="24"/>
          <w:szCs w:val="20"/>
          <w:lang w:val="en-US" w:eastAsia="zh-CN"/>
        </w:rPr>
        <w:t xml:space="preserve">2.3.3 </w:t>
      </w:r>
      <w:r>
        <w:rPr>
          <w:rFonts w:hint="eastAsia" w:ascii="黑体" w:hAnsi="黑体" w:eastAsia="黑体" w:cs="黑体"/>
          <w:b w:val="0"/>
          <w:i w:val="0"/>
          <w:spacing w:val="0"/>
          <w:sz w:val="24"/>
          <w:szCs w:val="20"/>
        </w:rPr>
        <w:t>安全性考虑（电气、结构稳定性）</w:t>
      </w:r>
      <w:bookmarkEnd w:id="24"/>
      <w:r>
        <w:rPr>
          <w:rFonts w:hint="eastAsia" w:ascii="黑体" w:hAnsi="黑体" w:eastAsia="黑体" w:cs="黑体"/>
          <w:b w:val="0"/>
          <w:i w:val="0"/>
          <w:spacing w:val="0"/>
          <w:sz w:val="24"/>
          <w:szCs w:val="20"/>
          <w:lang w:val="en-US" w:eastAsia="zh-CN"/>
        </w:rPr>
        <w:tab/>
      </w:r>
    </w:p>
    <w:p w14:paraId="40E3F118">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25" w:name="9845df8069834c9c81a504f2b924097d"/>
      <w:r>
        <w:rPr>
          <w:rFonts w:hint="eastAsia" w:hAnsi="黑体" w:cs="黑体"/>
          <w:b/>
          <w:i w:val="0"/>
          <w:spacing w:val="0"/>
          <w:sz w:val="32"/>
          <w:szCs w:val="21"/>
          <w:lang w:val="en-US" w:eastAsia="zh-CN"/>
        </w:rPr>
        <w:t>3.</w:t>
      </w:r>
      <w:r>
        <w:rPr>
          <w:rFonts w:hint="eastAsia" w:ascii="黑体" w:hAnsi="黑体" w:eastAsia="黑体" w:cs="黑体"/>
          <w:b/>
          <w:i w:val="0"/>
          <w:spacing w:val="0"/>
          <w:sz w:val="32"/>
          <w:szCs w:val="21"/>
        </w:rPr>
        <w:t>材料与设备技术</w:t>
      </w:r>
      <w:bookmarkEnd w:id="25"/>
    </w:p>
    <w:p w14:paraId="5A7643A3">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26" w:name="bceb49bc80dd470498d05d8c967eed07"/>
      <w:r>
        <w:rPr>
          <w:rFonts w:hint="eastAsia" w:ascii="黑体" w:hAnsi="黑体" w:eastAsia="黑体" w:cs="黑体"/>
          <w:b/>
          <w:i w:val="0"/>
          <w:spacing w:val="0"/>
          <w:sz w:val="28"/>
          <w:szCs w:val="20"/>
        </w:rPr>
        <w:t>3.1 基础材料</w:t>
      </w:r>
      <w:bookmarkEnd w:id="26"/>
    </w:p>
    <w:p w14:paraId="7E1B635C">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7" w:name="6b074041-05df-4345-8061-85edbfd99cc9"/>
      <w:r>
        <w:rPr>
          <w:rFonts w:hint="eastAsia" w:ascii="黑体" w:hAnsi="黑体" w:eastAsia="黑体" w:cs="黑体"/>
          <w:b w:val="0"/>
          <w:i w:val="0"/>
          <w:spacing w:val="0"/>
          <w:sz w:val="24"/>
          <w:szCs w:val="20"/>
          <w:lang w:val="en-US" w:eastAsia="zh-CN"/>
        </w:rPr>
        <w:t xml:space="preserve">3.1.1 </w:t>
      </w:r>
      <w:r>
        <w:rPr>
          <w:rFonts w:hint="eastAsia" w:ascii="黑体" w:hAnsi="黑体" w:eastAsia="黑体" w:cs="黑体"/>
          <w:b w:val="0"/>
          <w:i w:val="0"/>
          <w:spacing w:val="0"/>
          <w:sz w:val="24"/>
          <w:szCs w:val="20"/>
        </w:rPr>
        <w:t>水族箱材质与规格选择</w:t>
      </w:r>
      <w:bookmarkEnd w:id="27"/>
      <w:r>
        <w:rPr>
          <w:rFonts w:hint="eastAsia" w:ascii="黑体" w:hAnsi="黑体" w:eastAsia="黑体" w:cs="黑体"/>
          <w:b w:val="0"/>
          <w:i w:val="0"/>
          <w:spacing w:val="0"/>
          <w:sz w:val="24"/>
          <w:szCs w:val="20"/>
          <w:lang w:val="en-US" w:eastAsia="zh-CN"/>
        </w:rPr>
        <w:tab/>
      </w:r>
    </w:p>
    <w:p w14:paraId="6C0DF1A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8" w:name="c91fe03d-55a3-4c65-b6ae-74e4eaa1f789"/>
      <w:r>
        <w:rPr>
          <w:rFonts w:hint="eastAsia" w:ascii="黑体" w:hAnsi="黑体" w:eastAsia="黑体" w:cs="黑体"/>
          <w:b w:val="0"/>
          <w:i w:val="0"/>
          <w:spacing w:val="0"/>
          <w:sz w:val="24"/>
          <w:szCs w:val="20"/>
          <w:lang w:val="en-US" w:eastAsia="zh-CN"/>
        </w:rPr>
        <w:t xml:space="preserve">3.1.2 </w:t>
      </w:r>
      <w:r>
        <w:rPr>
          <w:rFonts w:hint="eastAsia" w:ascii="黑体" w:hAnsi="黑体" w:eastAsia="黑体" w:cs="黑体"/>
          <w:b w:val="0"/>
          <w:i w:val="0"/>
          <w:spacing w:val="0"/>
          <w:sz w:val="24"/>
          <w:szCs w:val="20"/>
        </w:rPr>
        <w:t>底床材料（基质、砂石等）</w:t>
      </w:r>
      <w:bookmarkEnd w:id="28"/>
      <w:r>
        <w:rPr>
          <w:rFonts w:hint="eastAsia" w:ascii="黑体" w:hAnsi="黑体" w:eastAsia="黑体" w:cs="黑体"/>
          <w:b w:val="0"/>
          <w:i w:val="0"/>
          <w:spacing w:val="0"/>
          <w:sz w:val="24"/>
          <w:szCs w:val="20"/>
          <w:lang w:val="en-US" w:eastAsia="zh-CN"/>
        </w:rPr>
        <w:tab/>
      </w:r>
    </w:p>
    <w:p w14:paraId="1233AD52">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29" w:name="1455d62e-45a6-453d-8318-e452cd1256cd"/>
      <w:r>
        <w:rPr>
          <w:rFonts w:hint="eastAsia" w:ascii="黑体" w:hAnsi="黑体" w:eastAsia="黑体" w:cs="黑体"/>
          <w:b w:val="0"/>
          <w:i w:val="0"/>
          <w:spacing w:val="0"/>
          <w:sz w:val="24"/>
          <w:szCs w:val="20"/>
          <w:lang w:val="en-US" w:eastAsia="zh-CN"/>
        </w:rPr>
        <w:t xml:space="preserve">3.1.3 </w:t>
      </w:r>
      <w:r>
        <w:rPr>
          <w:rFonts w:hint="eastAsia" w:ascii="黑体" w:hAnsi="黑体" w:eastAsia="黑体" w:cs="黑体"/>
          <w:b w:val="0"/>
          <w:i w:val="0"/>
          <w:spacing w:val="0"/>
          <w:sz w:val="24"/>
          <w:szCs w:val="20"/>
        </w:rPr>
        <w:t>造景素材（石材、沉木、陶瓷等）</w:t>
      </w:r>
      <w:bookmarkEnd w:id="29"/>
      <w:r>
        <w:rPr>
          <w:rFonts w:hint="eastAsia" w:ascii="黑体" w:hAnsi="黑体" w:eastAsia="黑体" w:cs="黑体"/>
          <w:b w:val="0"/>
          <w:i w:val="0"/>
          <w:spacing w:val="0"/>
          <w:sz w:val="24"/>
          <w:szCs w:val="20"/>
          <w:lang w:val="en-US" w:eastAsia="zh-CN"/>
        </w:rPr>
        <w:tab/>
      </w:r>
    </w:p>
    <w:p w14:paraId="146A2225">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0" w:name="135c2298-0b86-42fc-a0c9-a4467deeed21"/>
      <w:r>
        <w:rPr>
          <w:rFonts w:hint="eastAsia" w:ascii="黑体" w:hAnsi="黑体" w:eastAsia="黑体" w:cs="黑体"/>
          <w:b w:val="0"/>
          <w:i w:val="0"/>
          <w:spacing w:val="0"/>
          <w:sz w:val="24"/>
          <w:szCs w:val="20"/>
          <w:lang w:val="en-US" w:eastAsia="zh-CN"/>
        </w:rPr>
        <w:t xml:space="preserve">3.1.4 </w:t>
      </w:r>
      <w:r>
        <w:rPr>
          <w:rFonts w:hint="eastAsia" w:ascii="黑体" w:hAnsi="黑体" w:eastAsia="黑体" w:cs="黑体"/>
          <w:b w:val="0"/>
          <w:i w:val="0"/>
          <w:spacing w:val="0"/>
          <w:sz w:val="24"/>
          <w:szCs w:val="20"/>
        </w:rPr>
        <w:t>植物材料（常见水草种类及特性）
</w:t>
      </w:r>
      <w:r>
        <w:rPr>
          <w:rFonts w:hint="eastAsia" w:ascii="黑体" w:hAnsi="黑体" w:eastAsia="黑体" w:cs="黑体"/>
          <w:b w:val="0"/>
          <w:i w:val="0"/>
          <w:spacing w:val="0"/>
          <w:sz w:val="24"/>
          <w:szCs w:val="20"/>
          <w:lang w:val="en-US" w:eastAsia="zh-CN"/>
        </w:rPr>
        <w:tab/>
      </w:r>
    </w:p>
    <w:p w14:paraId="1FA5A7B4">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3.2 核心设备</w:t>
      </w:r>
      <w:bookmarkEnd w:id="30"/>
    </w:p>
    <w:p w14:paraId="6C2C45B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1" w:name="2614417a-1616-4f47-a327-dc6b153adf4b"/>
      <w:r>
        <w:rPr>
          <w:rFonts w:hint="eastAsia" w:ascii="黑体" w:hAnsi="黑体" w:eastAsia="黑体" w:cs="黑体"/>
          <w:b w:val="0"/>
          <w:i w:val="0"/>
          <w:spacing w:val="0"/>
          <w:sz w:val="24"/>
          <w:szCs w:val="20"/>
          <w:lang w:val="en-US" w:eastAsia="zh-CN"/>
        </w:rPr>
        <w:t xml:space="preserve">3.2.1 </w:t>
      </w:r>
      <w:r>
        <w:rPr>
          <w:rFonts w:hint="eastAsia" w:ascii="黑体" w:hAnsi="黑体" w:eastAsia="黑体" w:cs="黑体"/>
          <w:b w:val="0"/>
          <w:i w:val="0"/>
          <w:spacing w:val="0"/>
          <w:sz w:val="24"/>
          <w:szCs w:val="20"/>
        </w:rPr>
        <w:t>过滤系统（物理、生物、化学过滤）</w:t>
      </w:r>
      <w:bookmarkEnd w:id="31"/>
      <w:r>
        <w:rPr>
          <w:rFonts w:hint="eastAsia" w:ascii="黑体" w:hAnsi="黑体" w:eastAsia="黑体" w:cs="黑体"/>
          <w:b w:val="0"/>
          <w:i w:val="0"/>
          <w:spacing w:val="0"/>
          <w:sz w:val="24"/>
          <w:szCs w:val="20"/>
          <w:lang w:val="en-US" w:eastAsia="zh-CN"/>
        </w:rPr>
        <w:tab/>
      </w:r>
    </w:p>
    <w:p w14:paraId="0F9F8AC1">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2" w:name="3c527080-6d32-477e-b2ea-063e8080477c"/>
      <w:r>
        <w:rPr>
          <w:rFonts w:hint="eastAsia" w:ascii="黑体" w:hAnsi="黑体" w:eastAsia="黑体" w:cs="黑体"/>
          <w:b w:val="0"/>
          <w:i w:val="0"/>
          <w:spacing w:val="0"/>
          <w:sz w:val="24"/>
          <w:szCs w:val="20"/>
          <w:lang w:val="en-US" w:eastAsia="zh-CN"/>
        </w:rPr>
        <w:t xml:space="preserve">3.2.2 </w:t>
      </w:r>
      <w:r>
        <w:rPr>
          <w:rFonts w:hint="eastAsia" w:ascii="黑体" w:hAnsi="黑体" w:eastAsia="黑体" w:cs="黑体"/>
          <w:b w:val="0"/>
          <w:i w:val="0"/>
          <w:spacing w:val="0"/>
          <w:sz w:val="24"/>
          <w:szCs w:val="20"/>
        </w:rPr>
        <w:t>照明系统（光谱、强度、周期）</w:t>
      </w:r>
      <w:bookmarkEnd w:id="32"/>
      <w:r>
        <w:rPr>
          <w:rFonts w:hint="eastAsia" w:ascii="黑体" w:hAnsi="黑体" w:eastAsia="黑体" w:cs="黑体"/>
          <w:b w:val="0"/>
          <w:i w:val="0"/>
          <w:spacing w:val="0"/>
          <w:sz w:val="24"/>
          <w:szCs w:val="20"/>
          <w:lang w:val="en-US" w:eastAsia="zh-CN"/>
        </w:rPr>
        <w:tab/>
      </w:r>
    </w:p>
    <w:p w14:paraId="707AFFE6">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3" w:name="bd50fd77-7e2d-452a-a199-d2ecc02fcda0"/>
      <w:r>
        <w:rPr>
          <w:rFonts w:hint="eastAsia" w:ascii="黑体" w:hAnsi="黑体" w:eastAsia="黑体" w:cs="黑体"/>
          <w:b w:val="0"/>
          <w:i w:val="0"/>
          <w:spacing w:val="0"/>
          <w:sz w:val="24"/>
          <w:szCs w:val="20"/>
          <w:lang w:val="en-US" w:eastAsia="zh-CN"/>
        </w:rPr>
        <w:t xml:space="preserve">3.2.3 </w:t>
      </w:r>
      <w:r>
        <w:rPr>
          <w:rFonts w:hint="eastAsia" w:ascii="黑体" w:hAnsi="黑体" w:eastAsia="黑体" w:cs="黑体"/>
          <w:b w:val="0"/>
          <w:i w:val="0"/>
          <w:spacing w:val="0"/>
          <w:sz w:val="24"/>
          <w:szCs w:val="20"/>
        </w:rPr>
        <w:t>温控与加热设备</w:t>
      </w:r>
      <w:bookmarkEnd w:id="33"/>
      <w:r>
        <w:rPr>
          <w:rFonts w:hint="eastAsia" w:ascii="黑体" w:hAnsi="黑体" w:eastAsia="黑体" w:cs="黑体"/>
          <w:b w:val="0"/>
          <w:i w:val="0"/>
          <w:spacing w:val="0"/>
          <w:sz w:val="24"/>
          <w:szCs w:val="20"/>
          <w:lang w:val="en-US" w:eastAsia="zh-CN"/>
        </w:rPr>
        <w:tab/>
      </w:r>
    </w:p>
    <w:p w14:paraId="2A1B270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4" w:name="8fe8260c-a3a5-4f1a-8ef5-ee1154aa2f31"/>
      <w:r>
        <w:rPr>
          <w:rFonts w:hint="eastAsia" w:ascii="黑体" w:hAnsi="黑体" w:eastAsia="黑体" w:cs="黑体"/>
          <w:b w:val="0"/>
          <w:i w:val="0"/>
          <w:spacing w:val="0"/>
          <w:sz w:val="24"/>
          <w:szCs w:val="20"/>
          <w:lang w:val="en-US" w:eastAsia="zh-CN"/>
        </w:rPr>
        <w:t xml:space="preserve">3.2.4 </w:t>
      </w:r>
      <w:r>
        <w:rPr>
          <w:rFonts w:hint="eastAsia" w:ascii="黑体" w:hAnsi="黑体" w:eastAsia="黑体" w:cs="黑体"/>
          <w:b w:val="0"/>
          <w:i w:val="0"/>
          <w:spacing w:val="0"/>
          <w:sz w:val="24"/>
          <w:szCs w:val="20"/>
        </w:rPr>
        <w:t>水质监测与调节设备
</w:t>
      </w:r>
      <w:r>
        <w:rPr>
          <w:rFonts w:hint="eastAsia" w:ascii="黑体" w:hAnsi="黑体" w:eastAsia="黑体" w:cs="黑体"/>
          <w:b w:val="0"/>
          <w:i w:val="0"/>
          <w:spacing w:val="0"/>
          <w:sz w:val="24"/>
          <w:szCs w:val="20"/>
          <w:lang w:val="en-US" w:eastAsia="zh-CN"/>
        </w:rPr>
        <w:tab/>
      </w:r>
    </w:p>
    <w:p w14:paraId="22337B68">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3.3 创新技术与材料</w:t>
      </w:r>
      <w:bookmarkEnd w:id="34"/>
    </w:p>
    <w:p w14:paraId="09D4363C">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5" w:name="fb0b14e7-3b2f-40cb-aff1-9469aae6f14d"/>
      <w:r>
        <w:rPr>
          <w:rFonts w:hint="eastAsia" w:ascii="黑体" w:hAnsi="黑体" w:eastAsia="黑体" w:cs="黑体"/>
          <w:b w:val="0"/>
          <w:i w:val="0"/>
          <w:spacing w:val="0"/>
          <w:sz w:val="24"/>
          <w:szCs w:val="20"/>
          <w:lang w:val="en-US" w:eastAsia="zh-CN"/>
        </w:rPr>
        <w:t xml:space="preserve">3.3.1 </w:t>
      </w:r>
      <w:r>
        <w:rPr>
          <w:rFonts w:hint="eastAsia" w:ascii="黑体" w:hAnsi="黑体" w:eastAsia="黑体" w:cs="黑体"/>
          <w:b w:val="0"/>
          <w:i w:val="0"/>
          <w:spacing w:val="0"/>
          <w:sz w:val="24"/>
          <w:szCs w:val="20"/>
        </w:rPr>
        <w:t>智能控制系统</w:t>
      </w:r>
      <w:bookmarkEnd w:id="35"/>
      <w:r>
        <w:rPr>
          <w:rFonts w:hint="eastAsia" w:ascii="黑体" w:hAnsi="黑体" w:eastAsia="黑体" w:cs="黑体"/>
          <w:b w:val="0"/>
          <w:i w:val="0"/>
          <w:spacing w:val="0"/>
          <w:sz w:val="24"/>
          <w:szCs w:val="20"/>
          <w:lang w:val="en-US" w:eastAsia="zh-CN"/>
        </w:rPr>
        <w:tab/>
      </w:r>
    </w:p>
    <w:p w14:paraId="55A24E02">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6" w:name="751039ca-d302-4080-b156-0107d2e9cc37"/>
      <w:r>
        <w:rPr>
          <w:rFonts w:hint="eastAsia" w:ascii="黑体" w:hAnsi="黑体" w:eastAsia="黑体" w:cs="黑体"/>
          <w:b w:val="0"/>
          <w:i w:val="0"/>
          <w:spacing w:val="0"/>
          <w:sz w:val="24"/>
          <w:szCs w:val="20"/>
          <w:lang w:val="en-US" w:eastAsia="zh-CN"/>
        </w:rPr>
        <w:t xml:space="preserve">3.3.2 </w:t>
      </w:r>
      <w:r>
        <w:rPr>
          <w:rFonts w:hint="eastAsia" w:ascii="黑体" w:hAnsi="黑体" w:eastAsia="黑体" w:cs="黑体"/>
          <w:b w:val="0"/>
          <w:i w:val="0"/>
          <w:spacing w:val="0"/>
          <w:sz w:val="24"/>
          <w:szCs w:val="20"/>
        </w:rPr>
        <w:t>新型生态材料</w:t>
      </w:r>
      <w:bookmarkEnd w:id="36"/>
      <w:r>
        <w:rPr>
          <w:rFonts w:hint="eastAsia" w:ascii="黑体" w:hAnsi="黑体" w:eastAsia="黑体" w:cs="黑体"/>
          <w:b w:val="0"/>
          <w:i w:val="0"/>
          <w:spacing w:val="0"/>
          <w:sz w:val="24"/>
          <w:szCs w:val="20"/>
          <w:lang w:val="en-US" w:eastAsia="zh-CN"/>
        </w:rPr>
        <w:tab/>
      </w:r>
    </w:p>
    <w:p w14:paraId="28A8BB92">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37" w:name="8f721c6c-b8fa-4b2c-a43a-dcd3123db571"/>
      <w:r>
        <w:rPr>
          <w:rFonts w:hint="eastAsia" w:ascii="黑体" w:hAnsi="黑体" w:eastAsia="黑体" w:cs="黑体"/>
          <w:b w:val="0"/>
          <w:i w:val="0"/>
          <w:spacing w:val="0"/>
          <w:sz w:val="24"/>
          <w:szCs w:val="20"/>
          <w:lang w:val="en-US" w:eastAsia="zh-CN"/>
        </w:rPr>
        <w:t xml:space="preserve">3.3.3 </w:t>
      </w:r>
      <w:r>
        <w:rPr>
          <w:rFonts w:hint="eastAsia" w:ascii="黑体" w:hAnsi="黑体" w:eastAsia="黑体" w:cs="黑体"/>
          <w:b w:val="0"/>
          <w:i w:val="0"/>
          <w:spacing w:val="0"/>
          <w:sz w:val="24"/>
          <w:szCs w:val="20"/>
        </w:rPr>
        <w:t>3D打印在造景中的应用</w:t>
      </w:r>
      <w:bookmarkEnd w:id="37"/>
      <w:r>
        <w:rPr>
          <w:rFonts w:hint="eastAsia" w:ascii="黑体" w:hAnsi="黑体" w:eastAsia="黑体" w:cs="黑体"/>
          <w:b w:val="0"/>
          <w:i w:val="0"/>
          <w:spacing w:val="0"/>
          <w:sz w:val="24"/>
          <w:szCs w:val="20"/>
          <w:lang w:val="en-US" w:eastAsia="zh-CN"/>
        </w:rPr>
        <w:tab/>
      </w:r>
    </w:p>
    <w:p w14:paraId="100FAC19">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38" w:name="da0f19eafbca4681b7db11a355e8e81c"/>
      <w:r>
        <w:rPr>
          <w:rFonts w:hint="eastAsia" w:hAnsi="黑体" w:cs="黑体"/>
          <w:b/>
          <w:i w:val="0"/>
          <w:spacing w:val="0"/>
          <w:sz w:val="32"/>
          <w:szCs w:val="21"/>
          <w:lang w:val="en-US" w:eastAsia="zh-CN"/>
        </w:rPr>
        <w:t>4.</w:t>
      </w:r>
      <w:r>
        <w:rPr>
          <w:rFonts w:hint="eastAsia" w:ascii="黑体" w:hAnsi="黑体" w:eastAsia="黑体" w:cs="黑体"/>
          <w:b/>
          <w:i w:val="0"/>
          <w:spacing w:val="0"/>
          <w:sz w:val="32"/>
          <w:szCs w:val="21"/>
        </w:rPr>
        <w:t>施工与布景流程</w:t>
      </w:r>
      <w:bookmarkEnd w:id="38"/>
    </w:p>
    <w:p w14:paraId="59744A2C">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39" w:name="e737b1c114f041998eed79f83ffb9481"/>
      <w:r>
        <w:rPr>
          <w:rFonts w:hint="eastAsia" w:ascii="黑体" w:hAnsi="黑体" w:eastAsia="黑体" w:cs="黑体"/>
          <w:b/>
          <w:i w:val="0"/>
          <w:spacing w:val="0"/>
          <w:sz w:val="28"/>
          <w:szCs w:val="20"/>
        </w:rPr>
        <w:t>4.1 前期准备</w:t>
      </w:r>
      <w:bookmarkEnd w:id="39"/>
    </w:p>
    <w:p w14:paraId="7453EE4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0" w:name="82a66666-08ac-4072-9eed-1426a028164c"/>
      <w:r>
        <w:rPr>
          <w:rFonts w:hint="eastAsia" w:ascii="黑体" w:hAnsi="黑体" w:eastAsia="黑体" w:cs="黑体"/>
          <w:b w:val="0"/>
          <w:i w:val="0"/>
          <w:spacing w:val="0"/>
          <w:sz w:val="24"/>
          <w:szCs w:val="20"/>
          <w:lang w:val="en-US" w:eastAsia="zh-CN"/>
        </w:rPr>
        <w:t xml:space="preserve">4.1.1 </w:t>
      </w:r>
      <w:r>
        <w:rPr>
          <w:rFonts w:hint="eastAsia" w:ascii="黑体" w:hAnsi="黑体" w:eastAsia="黑体" w:cs="黑体"/>
          <w:b w:val="0"/>
          <w:i w:val="0"/>
          <w:spacing w:val="0"/>
          <w:sz w:val="24"/>
          <w:szCs w:val="20"/>
        </w:rPr>
        <w:t>需求分析（场景、预算、维护能力）</w:t>
      </w:r>
      <w:bookmarkEnd w:id="40"/>
      <w:r>
        <w:rPr>
          <w:rFonts w:hint="eastAsia" w:ascii="黑体" w:hAnsi="黑体" w:eastAsia="黑体" w:cs="黑体"/>
          <w:b w:val="0"/>
          <w:i w:val="0"/>
          <w:spacing w:val="0"/>
          <w:sz w:val="24"/>
          <w:szCs w:val="20"/>
          <w:lang w:val="en-US" w:eastAsia="zh-CN"/>
        </w:rPr>
        <w:tab/>
      </w:r>
    </w:p>
    <w:p w14:paraId="0BC4E4F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1" w:name="0ce4843f-3bd1-4663-9f73-ddc5ea3345bd"/>
      <w:r>
        <w:rPr>
          <w:rFonts w:hint="eastAsia" w:ascii="黑体" w:hAnsi="黑体" w:eastAsia="黑体" w:cs="黑体"/>
          <w:b w:val="0"/>
          <w:i w:val="0"/>
          <w:spacing w:val="0"/>
          <w:sz w:val="24"/>
          <w:szCs w:val="20"/>
          <w:lang w:val="en-US" w:eastAsia="zh-CN"/>
        </w:rPr>
        <w:t xml:space="preserve">4.1.2 </w:t>
      </w:r>
      <w:r>
        <w:rPr>
          <w:rFonts w:hint="eastAsia" w:ascii="黑体" w:hAnsi="黑体" w:eastAsia="黑体" w:cs="黑体"/>
          <w:b w:val="0"/>
          <w:i w:val="0"/>
          <w:spacing w:val="0"/>
          <w:sz w:val="24"/>
          <w:szCs w:val="20"/>
        </w:rPr>
        <w:t>设计图纸与方案制定</w:t>
      </w:r>
      <w:bookmarkEnd w:id="41"/>
      <w:r>
        <w:rPr>
          <w:rFonts w:hint="eastAsia" w:ascii="黑体" w:hAnsi="黑体" w:eastAsia="黑体" w:cs="黑体"/>
          <w:b w:val="0"/>
          <w:i w:val="0"/>
          <w:spacing w:val="0"/>
          <w:sz w:val="24"/>
          <w:szCs w:val="20"/>
          <w:lang w:val="en-US" w:eastAsia="zh-CN"/>
        </w:rPr>
        <w:tab/>
      </w:r>
    </w:p>
    <w:p w14:paraId="6A4826F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val="0"/>
          <w:i w:val="0"/>
          <w:spacing w:val="0"/>
          <w:sz w:val="24"/>
          <w:szCs w:val="20"/>
          <w:lang w:val="en-US" w:eastAsia="zh-CN"/>
        </w:rPr>
      </w:pPr>
      <w:bookmarkStart w:id="42" w:name="fc87a934-9745-4f1c-9caf-a0095e0ad8d4"/>
      <w:r>
        <w:rPr>
          <w:rFonts w:hint="eastAsia" w:ascii="黑体" w:hAnsi="黑体" w:eastAsia="黑体" w:cs="黑体"/>
          <w:b w:val="0"/>
          <w:i w:val="0"/>
          <w:spacing w:val="0"/>
          <w:sz w:val="24"/>
          <w:szCs w:val="20"/>
          <w:lang w:val="en-US" w:eastAsia="zh-CN"/>
        </w:rPr>
        <w:t xml:space="preserve">4.1.3 </w:t>
      </w:r>
      <w:r>
        <w:rPr>
          <w:rFonts w:hint="eastAsia" w:ascii="黑体" w:hAnsi="黑体" w:eastAsia="黑体" w:cs="黑体"/>
          <w:b w:val="0"/>
          <w:i w:val="0"/>
          <w:spacing w:val="0"/>
          <w:sz w:val="24"/>
          <w:szCs w:val="20"/>
        </w:rPr>
        <w:t>材料设备清单与采购</w:t>
      </w:r>
      <w:r>
        <w:rPr>
          <w:rFonts w:hint="eastAsia" w:ascii="黑体" w:hAnsi="黑体" w:eastAsia="黑体" w:cs="黑体"/>
          <w:b w:val="0"/>
          <w:i w:val="0"/>
          <w:spacing w:val="0"/>
          <w:sz w:val="24"/>
          <w:szCs w:val="20"/>
          <w:lang w:val="en-US" w:eastAsia="zh-CN"/>
        </w:rPr>
        <w:tab/>
      </w:r>
    </w:p>
    <w:p w14:paraId="21F1BC4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4.2 施工步骤</w:t>
      </w:r>
      <w:bookmarkEnd w:id="42"/>
    </w:p>
    <w:p w14:paraId="60FEFBF4">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3" w:name="f4a3f1ad-bb9c-48be-8008-4e8ed77286dc"/>
      <w:r>
        <w:rPr>
          <w:rFonts w:hint="eastAsia" w:ascii="黑体" w:hAnsi="黑体" w:eastAsia="黑体" w:cs="黑体"/>
          <w:b w:val="0"/>
          <w:i w:val="0"/>
          <w:spacing w:val="0"/>
          <w:sz w:val="24"/>
          <w:szCs w:val="20"/>
          <w:lang w:val="en-US" w:eastAsia="zh-CN"/>
        </w:rPr>
        <w:t xml:space="preserve">4.2.1 </w:t>
      </w:r>
      <w:r>
        <w:rPr>
          <w:rFonts w:hint="eastAsia" w:ascii="黑体" w:hAnsi="黑体" w:eastAsia="黑体" w:cs="黑体"/>
          <w:b w:val="0"/>
          <w:i w:val="0"/>
          <w:spacing w:val="0"/>
          <w:sz w:val="24"/>
          <w:szCs w:val="20"/>
        </w:rPr>
        <w:t>开缸准备（消毒、设备安装）</w:t>
      </w:r>
      <w:bookmarkEnd w:id="43"/>
      <w:r>
        <w:rPr>
          <w:rFonts w:hint="eastAsia" w:ascii="黑体" w:hAnsi="黑体" w:eastAsia="黑体" w:cs="黑体"/>
          <w:b w:val="0"/>
          <w:i w:val="0"/>
          <w:spacing w:val="0"/>
          <w:sz w:val="24"/>
          <w:szCs w:val="20"/>
          <w:lang w:val="en-US" w:eastAsia="zh-CN"/>
        </w:rPr>
        <w:tab/>
      </w:r>
    </w:p>
    <w:p w14:paraId="05C2FE5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4" w:name="a70158ff-ae9d-437a-8a42-6aecb6ce0636"/>
      <w:r>
        <w:rPr>
          <w:rFonts w:hint="eastAsia" w:ascii="黑体" w:hAnsi="黑体" w:eastAsia="黑体" w:cs="黑体"/>
          <w:b w:val="0"/>
          <w:i w:val="0"/>
          <w:spacing w:val="0"/>
          <w:sz w:val="24"/>
          <w:szCs w:val="20"/>
          <w:lang w:val="en-US" w:eastAsia="zh-CN"/>
        </w:rPr>
        <w:t xml:space="preserve">4.2.2 </w:t>
      </w:r>
      <w:r>
        <w:rPr>
          <w:rFonts w:hint="eastAsia" w:ascii="黑体" w:hAnsi="黑体" w:eastAsia="黑体" w:cs="黑体"/>
          <w:b w:val="0"/>
          <w:i w:val="0"/>
          <w:spacing w:val="0"/>
          <w:sz w:val="24"/>
          <w:szCs w:val="20"/>
        </w:rPr>
        <w:t>底床铺设与造景骨架搭建</w:t>
      </w:r>
      <w:bookmarkEnd w:id="44"/>
      <w:r>
        <w:rPr>
          <w:rFonts w:hint="eastAsia" w:ascii="黑体" w:hAnsi="黑体" w:eastAsia="黑体" w:cs="黑体"/>
          <w:b w:val="0"/>
          <w:i w:val="0"/>
          <w:spacing w:val="0"/>
          <w:sz w:val="24"/>
          <w:szCs w:val="20"/>
          <w:lang w:val="en-US" w:eastAsia="zh-CN"/>
        </w:rPr>
        <w:tab/>
      </w:r>
    </w:p>
    <w:p w14:paraId="56B1D164">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5" w:name="fa02a8e5-a474-4c84-ada7-d33fc5d73b9b"/>
      <w:r>
        <w:rPr>
          <w:rFonts w:hint="eastAsia" w:ascii="黑体" w:hAnsi="黑体" w:eastAsia="黑体" w:cs="黑体"/>
          <w:b w:val="0"/>
          <w:i w:val="0"/>
          <w:spacing w:val="0"/>
          <w:sz w:val="24"/>
          <w:szCs w:val="20"/>
          <w:lang w:val="en-US" w:eastAsia="zh-CN"/>
        </w:rPr>
        <w:t xml:space="preserve">4.2.3 </w:t>
      </w:r>
      <w:r>
        <w:rPr>
          <w:rFonts w:hint="eastAsia" w:ascii="黑体" w:hAnsi="黑体" w:eastAsia="黑体" w:cs="黑体"/>
          <w:b w:val="0"/>
          <w:i w:val="0"/>
          <w:spacing w:val="0"/>
          <w:sz w:val="24"/>
          <w:szCs w:val="20"/>
        </w:rPr>
        <w:t>植物种植技巧（固定、修剪、种植密度）</w:t>
      </w:r>
      <w:bookmarkEnd w:id="45"/>
      <w:r>
        <w:rPr>
          <w:rFonts w:hint="eastAsia" w:ascii="黑体" w:hAnsi="黑体" w:eastAsia="黑体" w:cs="黑体"/>
          <w:b w:val="0"/>
          <w:i w:val="0"/>
          <w:spacing w:val="0"/>
          <w:sz w:val="24"/>
          <w:szCs w:val="20"/>
          <w:lang w:val="en-US" w:eastAsia="zh-CN"/>
        </w:rPr>
        <w:tab/>
      </w:r>
    </w:p>
    <w:p w14:paraId="3A0389D6">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6" w:name="3cbf3b07-3769-43b9-ab13-2c9c88bc817e"/>
      <w:r>
        <w:rPr>
          <w:rFonts w:hint="eastAsia" w:ascii="黑体" w:hAnsi="黑体" w:eastAsia="黑体" w:cs="黑体"/>
          <w:b w:val="0"/>
          <w:i w:val="0"/>
          <w:spacing w:val="0"/>
          <w:sz w:val="24"/>
          <w:szCs w:val="20"/>
          <w:lang w:val="en-US" w:eastAsia="zh-CN"/>
        </w:rPr>
        <w:t xml:space="preserve">4.2.4 </w:t>
      </w:r>
      <w:r>
        <w:rPr>
          <w:rFonts w:hint="eastAsia" w:ascii="黑体" w:hAnsi="黑体" w:eastAsia="黑体" w:cs="黑体"/>
          <w:b w:val="0"/>
          <w:i w:val="0"/>
          <w:spacing w:val="0"/>
          <w:sz w:val="24"/>
          <w:szCs w:val="20"/>
        </w:rPr>
        <w:t>生物引入与适应期管理
</w:t>
      </w:r>
      <w:r>
        <w:rPr>
          <w:rFonts w:hint="eastAsia" w:ascii="黑体" w:hAnsi="黑体" w:eastAsia="黑体" w:cs="黑体"/>
          <w:b w:val="0"/>
          <w:i w:val="0"/>
          <w:spacing w:val="0"/>
          <w:sz w:val="24"/>
          <w:szCs w:val="20"/>
          <w:lang w:val="en-US" w:eastAsia="zh-CN"/>
        </w:rPr>
        <w:tab/>
      </w:r>
    </w:p>
    <w:p w14:paraId="47EE53AD">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4.3 细节处理与调整</w:t>
      </w:r>
      <w:bookmarkEnd w:id="46"/>
    </w:p>
    <w:p w14:paraId="05AA4D1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7" w:name="ec08f88d-051a-4e55-824b-dce0d6f16aaf"/>
      <w:r>
        <w:rPr>
          <w:rFonts w:hint="eastAsia" w:ascii="黑体" w:hAnsi="黑体" w:eastAsia="黑体" w:cs="黑体"/>
          <w:b w:val="0"/>
          <w:i w:val="0"/>
          <w:spacing w:val="0"/>
          <w:sz w:val="24"/>
          <w:szCs w:val="20"/>
          <w:lang w:val="en-US" w:eastAsia="zh-CN"/>
        </w:rPr>
        <w:t xml:space="preserve">4.3.1 </w:t>
      </w:r>
      <w:r>
        <w:rPr>
          <w:rFonts w:hint="eastAsia" w:ascii="黑体" w:hAnsi="黑体" w:eastAsia="黑体" w:cs="黑体"/>
          <w:b w:val="0"/>
          <w:i w:val="0"/>
          <w:spacing w:val="0"/>
          <w:sz w:val="24"/>
          <w:szCs w:val="20"/>
        </w:rPr>
        <w:t>视觉优化技巧（焦点设置、遮挡法）</w:t>
      </w:r>
      <w:bookmarkEnd w:id="47"/>
      <w:r>
        <w:rPr>
          <w:rFonts w:hint="eastAsia" w:ascii="黑体" w:hAnsi="黑体" w:eastAsia="黑体" w:cs="黑体"/>
          <w:b w:val="0"/>
          <w:i w:val="0"/>
          <w:spacing w:val="0"/>
          <w:sz w:val="24"/>
          <w:szCs w:val="20"/>
          <w:lang w:val="en-US" w:eastAsia="zh-CN"/>
        </w:rPr>
        <w:tab/>
      </w:r>
    </w:p>
    <w:p w14:paraId="73629865">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8" w:name="7f5465ab-1240-45e9-a623-2c9da90492be"/>
      <w:r>
        <w:rPr>
          <w:rFonts w:hint="eastAsia" w:ascii="黑体" w:hAnsi="黑体" w:eastAsia="黑体" w:cs="黑体"/>
          <w:b w:val="0"/>
          <w:i w:val="0"/>
          <w:spacing w:val="0"/>
          <w:sz w:val="24"/>
          <w:szCs w:val="20"/>
          <w:lang w:val="en-US" w:eastAsia="zh-CN"/>
        </w:rPr>
        <w:t xml:space="preserve">4.3.2 </w:t>
      </w:r>
      <w:r>
        <w:rPr>
          <w:rFonts w:hint="eastAsia" w:ascii="黑体" w:hAnsi="黑体" w:eastAsia="黑体" w:cs="黑体"/>
          <w:b w:val="0"/>
          <w:i w:val="0"/>
          <w:spacing w:val="0"/>
          <w:sz w:val="24"/>
          <w:szCs w:val="20"/>
        </w:rPr>
        <w:t>水流与气动的调试</w:t>
      </w:r>
      <w:bookmarkEnd w:id="48"/>
      <w:r>
        <w:rPr>
          <w:rFonts w:hint="eastAsia" w:ascii="黑体" w:hAnsi="黑体" w:eastAsia="黑体" w:cs="黑体"/>
          <w:b w:val="0"/>
          <w:i w:val="0"/>
          <w:spacing w:val="0"/>
          <w:sz w:val="24"/>
          <w:szCs w:val="20"/>
          <w:lang w:val="en-US" w:eastAsia="zh-CN"/>
        </w:rPr>
        <w:tab/>
      </w:r>
    </w:p>
    <w:p w14:paraId="48D98478">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49" w:name="fdf7b7c6-9553-4833-9418-ceaf3833fae8"/>
      <w:r>
        <w:rPr>
          <w:rFonts w:hint="eastAsia" w:ascii="黑体" w:hAnsi="黑体" w:eastAsia="黑体" w:cs="黑体"/>
          <w:b w:val="0"/>
          <w:i w:val="0"/>
          <w:spacing w:val="0"/>
          <w:sz w:val="24"/>
          <w:szCs w:val="20"/>
          <w:lang w:val="en-US" w:eastAsia="zh-CN"/>
        </w:rPr>
        <w:t xml:space="preserve">4.3.3 </w:t>
      </w:r>
      <w:r>
        <w:rPr>
          <w:rFonts w:hint="eastAsia" w:ascii="黑体" w:hAnsi="黑体" w:eastAsia="黑体" w:cs="黑体"/>
          <w:b w:val="0"/>
          <w:i w:val="0"/>
          <w:spacing w:val="0"/>
          <w:sz w:val="24"/>
          <w:szCs w:val="20"/>
        </w:rPr>
        <w:t>初期问题排查与修正</w:t>
      </w:r>
      <w:bookmarkEnd w:id="49"/>
      <w:r>
        <w:rPr>
          <w:rFonts w:hint="eastAsia" w:ascii="黑体" w:hAnsi="黑体" w:eastAsia="黑体" w:cs="黑体"/>
          <w:b w:val="0"/>
          <w:i w:val="0"/>
          <w:spacing w:val="0"/>
          <w:sz w:val="24"/>
          <w:szCs w:val="20"/>
          <w:lang w:val="en-US" w:eastAsia="zh-CN"/>
        </w:rPr>
        <w:tab/>
      </w:r>
    </w:p>
    <w:p w14:paraId="71915341">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50" w:name="48341996390b46a1a8b6927d3ab203c7"/>
      <w:r>
        <w:rPr>
          <w:rFonts w:hint="eastAsia" w:hAnsi="黑体" w:cs="黑体"/>
          <w:b/>
          <w:i w:val="0"/>
          <w:spacing w:val="0"/>
          <w:sz w:val="32"/>
          <w:szCs w:val="21"/>
          <w:lang w:val="en-US" w:eastAsia="zh-CN"/>
        </w:rPr>
        <w:t>5.</w:t>
      </w:r>
      <w:r>
        <w:rPr>
          <w:rFonts w:hint="eastAsia" w:ascii="黑体" w:hAnsi="黑体" w:eastAsia="黑体" w:cs="黑体"/>
          <w:b/>
          <w:i w:val="0"/>
          <w:spacing w:val="0"/>
          <w:sz w:val="32"/>
          <w:szCs w:val="21"/>
        </w:rPr>
        <w:t>维护与管理</w:t>
      </w:r>
      <w:bookmarkEnd w:id="50"/>
    </w:p>
    <w:p w14:paraId="3DAC83D1">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51" w:name="1b90041b9491438082e4111c0c7c7a5d"/>
      <w:r>
        <w:rPr>
          <w:rFonts w:hint="eastAsia" w:ascii="黑体" w:hAnsi="黑体" w:eastAsia="黑体" w:cs="黑体"/>
          <w:b/>
          <w:i w:val="0"/>
          <w:spacing w:val="0"/>
          <w:sz w:val="28"/>
          <w:szCs w:val="20"/>
        </w:rPr>
        <w:t>5.1 日常维护</w:t>
      </w:r>
      <w:bookmarkEnd w:id="51"/>
    </w:p>
    <w:p w14:paraId="7FC2250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2" w:name="e0e575c5-0b92-4e5a-99a3-581bf51f2db7"/>
      <w:r>
        <w:rPr>
          <w:rFonts w:hint="eastAsia" w:ascii="黑体" w:hAnsi="黑体" w:eastAsia="黑体" w:cs="黑体"/>
          <w:b w:val="0"/>
          <w:i w:val="0"/>
          <w:spacing w:val="0"/>
          <w:sz w:val="24"/>
          <w:szCs w:val="20"/>
          <w:lang w:val="en-US" w:eastAsia="zh-CN"/>
        </w:rPr>
        <w:t xml:space="preserve">5.1.1 </w:t>
      </w:r>
      <w:r>
        <w:rPr>
          <w:rFonts w:hint="eastAsia" w:ascii="黑体" w:hAnsi="黑体" w:eastAsia="黑体" w:cs="黑体"/>
          <w:b w:val="0"/>
          <w:i w:val="0"/>
          <w:spacing w:val="0"/>
          <w:sz w:val="24"/>
          <w:szCs w:val="20"/>
        </w:rPr>
        <w:t>水质监测与换水频率</w:t>
      </w:r>
      <w:bookmarkEnd w:id="52"/>
      <w:r>
        <w:rPr>
          <w:rFonts w:hint="eastAsia" w:ascii="黑体" w:hAnsi="黑体" w:eastAsia="黑体" w:cs="黑体"/>
          <w:b w:val="0"/>
          <w:i w:val="0"/>
          <w:spacing w:val="0"/>
          <w:sz w:val="24"/>
          <w:szCs w:val="20"/>
          <w:lang w:val="en-US" w:eastAsia="zh-CN"/>
        </w:rPr>
        <w:tab/>
      </w:r>
    </w:p>
    <w:p w14:paraId="1517B61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3" w:name="9123a556-8dc2-4eaf-a64b-0c5ebeef5353"/>
      <w:r>
        <w:rPr>
          <w:rFonts w:hint="eastAsia" w:ascii="黑体" w:hAnsi="黑体" w:eastAsia="黑体" w:cs="黑体"/>
          <w:b w:val="0"/>
          <w:i w:val="0"/>
          <w:spacing w:val="0"/>
          <w:sz w:val="24"/>
          <w:szCs w:val="20"/>
          <w:lang w:val="en-US" w:eastAsia="zh-CN"/>
        </w:rPr>
        <w:t xml:space="preserve">5.1.2 </w:t>
      </w:r>
      <w:r>
        <w:rPr>
          <w:rFonts w:hint="eastAsia" w:ascii="黑体" w:hAnsi="黑体" w:eastAsia="黑体" w:cs="黑体"/>
          <w:b w:val="0"/>
          <w:i w:val="0"/>
          <w:spacing w:val="0"/>
          <w:sz w:val="24"/>
          <w:szCs w:val="20"/>
        </w:rPr>
        <w:t>设备巡检与保养</w:t>
      </w:r>
      <w:bookmarkEnd w:id="53"/>
      <w:r>
        <w:rPr>
          <w:rFonts w:hint="eastAsia" w:ascii="黑体" w:hAnsi="黑体" w:eastAsia="黑体" w:cs="黑体"/>
          <w:b w:val="0"/>
          <w:i w:val="0"/>
          <w:spacing w:val="0"/>
          <w:sz w:val="24"/>
          <w:szCs w:val="20"/>
          <w:lang w:val="en-US" w:eastAsia="zh-CN"/>
        </w:rPr>
        <w:tab/>
      </w:r>
    </w:p>
    <w:p w14:paraId="6425CC9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4" w:name="6d5d7f00-a657-41bd-afa4-93dc615f7d55"/>
      <w:r>
        <w:rPr>
          <w:rFonts w:hint="eastAsia" w:ascii="黑体" w:hAnsi="黑体" w:eastAsia="黑体" w:cs="黑体"/>
          <w:b w:val="0"/>
          <w:i w:val="0"/>
          <w:spacing w:val="0"/>
          <w:sz w:val="24"/>
          <w:szCs w:val="20"/>
          <w:lang w:val="en-US" w:eastAsia="zh-CN"/>
        </w:rPr>
        <w:t xml:space="preserve">5.1.3 </w:t>
      </w:r>
      <w:r>
        <w:rPr>
          <w:rFonts w:hint="eastAsia" w:ascii="黑体" w:hAnsi="黑体" w:eastAsia="黑体" w:cs="黑体"/>
          <w:b w:val="0"/>
          <w:i w:val="0"/>
          <w:spacing w:val="0"/>
          <w:sz w:val="24"/>
          <w:szCs w:val="20"/>
        </w:rPr>
        <w:t>植物修剪与补种</w:t>
      </w:r>
      <w:bookmarkEnd w:id="54"/>
      <w:r>
        <w:rPr>
          <w:rFonts w:hint="eastAsia" w:ascii="黑体" w:hAnsi="黑体" w:eastAsia="黑体" w:cs="黑体"/>
          <w:b w:val="0"/>
          <w:i w:val="0"/>
          <w:spacing w:val="0"/>
          <w:sz w:val="24"/>
          <w:szCs w:val="20"/>
          <w:lang w:val="en-US" w:eastAsia="zh-CN"/>
        </w:rPr>
        <w:tab/>
      </w:r>
    </w:p>
    <w:p w14:paraId="46B19D6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5" w:name="4b6663ca-1ff4-4d75-9a2e-9831ec626fdc"/>
      <w:r>
        <w:rPr>
          <w:rFonts w:hint="eastAsia" w:ascii="黑体" w:hAnsi="黑体" w:eastAsia="黑体" w:cs="黑体"/>
          <w:b w:val="0"/>
          <w:i w:val="0"/>
          <w:spacing w:val="0"/>
          <w:sz w:val="24"/>
          <w:szCs w:val="20"/>
          <w:lang w:val="en-US" w:eastAsia="zh-CN"/>
        </w:rPr>
        <w:t xml:space="preserve">5.1.4 </w:t>
      </w:r>
      <w:r>
        <w:rPr>
          <w:rFonts w:hint="eastAsia" w:ascii="黑体" w:hAnsi="黑体" w:eastAsia="黑体" w:cs="黑体"/>
          <w:b w:val="0"/>
          <w:i w:val="0"/>
          <w:spacing w:val="0"/>
          <w:sz w:val="24"/>
          <w:szCs w:val="20"/>
        </w:rPr>
        <w:t>鱼类健康管理
</w:t>
      </w:r>
      <w:r>
        <w:rPr>
          <w:rFonts w:hint="eastAsia" w:ascii="黑体" w:hAnsi="黑体" w:eastAsia="黑体" w:cs="黑体"/>
          <w:b w:val="0"/>
          <w:i w:val="0"/>
          <w:spacing w:val="0"/>
          <w:sz w:val="24"/>
          <w:szCs w:val="20"/>
          <w:lang w:val="en-US" w:eastAsia="zh-CN"/>
        </w:rPr>
        <w:tab/>
      </w:r>
    </w:p>
    <w:p w14:paraId="1F63329D">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5.2 长期管理策略</w:t>
      </w:r>
      <w:bookmarkEnd w:id="55"/>
    </w:p>
    <w:p w14:paraId="31D50469">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6" w:name="bd83ef0c-8bc6-435c-9beb-dd68a00a76aa"/>
      <w:r>
        <w:rPr>
          <w:rFonts w:hint="eastAsia" w:ascii="黑体" w:hAnsi="黑体" w:eastAsia="黑体" w:cs="黑体"/>
          <w:b w:val="0"/>
          <w:i w:val="0"/>
          <w:spacing w:val="0"/>
          <w:sz w:val="24"/>
          <w:szCs w:val="20"/>
          <w:lang w:val="en-US" w:eastAsia="zh-CN"/>
        </w:rPr>
        <w:t xml:space="preserve">5.2.1 </w:t>
      </w:r>
      <w:r>
        <w:rPr>
          <w:rFonts w:hint="eastAsia" w:ascii="黑体" w:hAnsi="黑体" w:eastAsia="黑体" w:cs="黑体"/>
          <w:b w:val="0"/>
          <w:i w:val="0"/>
          <w:spacing w:val="0"/>
          <w:sz w:val="24"/>
          <w:szCs w:val="20"/>
        </w:rPr>
        <w:t>生态系统稳定性维护</w:t>
      </w:r>
      <w:bookmarkEnd w:id="56"/>
      <w:r>
        <w:rPr>
          <w:rFonts w:hint="eastAsia" w:ascii="黑体" w:hAnsi="黑体" w:eastAsia="黑体" w:cs="黑体"/>
          <w:b w:val="0"/>
          <w:i w:val="0"/>
          <w:spacing w:val="0"/>
          <w:sz w:val="24"/>
          <w:szCs w:val="20"/>
          <w:lang w:val="en-US" w:eastAsia="zh-CN"/>
        </w:rPr>
        <w:tab/>
      </w:r>
    </w:p>
    <w:p w14:paraId="6CD8CA0E">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7" w:name="cfe7c2d2-bd0c-4d39-a769-d09171f94995"/>
      <w:r>
        <w:rPr>
          <w:rFonts w:hint="eastAsia" w:ascii="黑体" w:hAnsi="黑体" w:eastAsia="黑体" w:cs="黑体"/>
          <w:b w:val="0"/>
          <w:i w:val="0"/>
          <w:spacing w:val="0"/>
          <w:sz w:val="24"/>
          <w:szCs w:val="20"/>
          <w:lang w:val="en-US" w:eastAsia="zh-CN"/>
        </w:rPr>
        <w:t xml:space="preserve">5.2.2 </w:t>
      </w:r>
      <w:r>
        <w:rPr>
          <w:rFonts w:hint="eastAsia" w:ascii="黑体" w:hAnsi="黑体" w:eastAsia="黑体" w:cs="黑体"/>
          <w:b w:val="0"/>
          <w:i w:val="0"/>
          <w:spacing w:val="0"/>
          <w:sz w:val="24"/>
          <w:szCs w:val="20"/>
        </w:rPr>
        <w:t>季节性调整</w:t>
      </w:r>
      <w:bookmarkEnd w:id="57"/>
      <w:r>
        <w:rPr>
          <w:rFonts w:hint="eastAsia" w:ascii="黑体" w:hAnsi="黑体" w:eastAsia="黑体" w:cs="黑体"/>
          <w:b w:val="0"/>
          <w:i w:val="0"/>
          <w:spacing w:val="0"/>
          <w:sz w:val="24"/>
          <w:szCs w:val="20"/>
          <w:lang w:val="en-US" w:eastAsia="zh-CN"/>
        </w:rPr>
        <w:tab/>
      </w:r>
    </w:p>
    <w:p w14:paraId="620094D6">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8" w:name="aa9e5a01-d529-4af4-aa14-d3e45fc41084"/>
      <w:r>
        <w:rPr>
          <w:rFonts w:hint="eastAsia" w:ascii="黑体" w:hAnsi="黑体" w:eastAsia="黑体" w:cs="黑体"/>
          <w:b w:val="0"/>
          <w:i w:val="0"/>
          <w:spacing w:val="0"/>
          <w:sz w:val="24"/>
          <w:szCs w:val="20"/>
          <w:lang w:val="en-US" w:eastAsia="zh-CN"/>
        </w:rPr>
        <w:t xml:space="preserve">5.2.3 </w:t>
      </w:r>
      <w:r>
        <w:rPr>
          <w:rFonts w:hint="eastAsia" w:ascii="黑体" w:hAnsi="黑体" w:eastAsia="黑体" w:cs="黑体"/>
          <w:b w:val="0"/>
          <w:i w:val="0"/>
          <w:spacing w:val="0"/>
          <w:sz w:val="24"/>
          <w:szCs w:val="20"/>
        </w:rPr>
        <w:t>常见问题的预防与处理（藻类爆发、生物死亡等）
</w:t>
      </w:r>
      <w:r>
        <w:rPr>
          <w:rFonts w:hint="eastAsia" w:ascii="黑体" w:hAnsi="黑体" w:eastAsia="黑体" w:cs="黑体"/>
          <w:b w:val="0"/>
          <w:i w:val="0"/>
          <w:spacing w:val="0"/>
          <w:sz w:val="24"/>
          <w:szCs w:val="20"/>
          <w:lang w:val="en-US" w:eastAsia="zh-CN"/>
        </w:rPr>
        <w:tab/>
      </w:r>
    </w:p>
    <w:p w14:paraId="66E0E1D5">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lang w:val="en-US" w:eastAsia="zh-CN"/>
        </w:rPr>
      </w:pPr>
      <w:r>
        <w:rPr>
          <w:rFonts w:hint="eastAsia" w:ascii="黑体" w:hAnsi="黑体" w:eastAsia="黑体" w:cs="黑体"/>
          <w:b/>
          <w:bCs/>
          <w:i w:val="0"/>
          <w:spacing w:val="0"/>
          <w:sz w:val="28"/>
          <w:szCs w:val="21"/>
          <w:lang w:val="en-US" w:eastAsia="zh-CN"/>
        </w:rPr>
        <w:t>5</w:t>
      </w:r>
      <w:r>
        <w:rPr>
          <w:rFonts w:hint="eastAsia" w:ascii="黑体" w:hAnsi="黑体" w:eastAsia="黑体" w:cs="黑体"/>
          <w:b/>
          <w:bCs/>
          <w:i w:val="0"/>
          <w:spacing w:val="0"/>
          <w:sz w:val="28"/>
          <w:szCs w:val="21"/>
        </w:rPr>
        <w:t>.3 高级管理技术</w:t>
      </w:r>
      <w:bookmarkEnd w:id="58"/>
    </w:p>
    <w:p w14:paraId="5E95E7AD">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59" w:name="8e9313c0-f331-41d7-b16d-c2bf43ed1aaa"/>
      <w:r>
        <w:rPr>
          <w:rFonts w:hint="eastAsia" w:ascii="黑体" w:hAnsi="黑体" w:eastAsia="黑体" w:cs="黑体"/>
          <w:b w:val="0"/>
          <w:i w:val="0"/>
          <w:spacing w:val="0"/>
          <w:sz w:val="24"/>
          <w:szCs w:val="20"/>
          <w:lang w:val="en-US" w:eastAsia="zh-CN"/>
        </w:rPr>
        <w:t xml:space="preserve">5.3.1 </w:t>
      </w:r>
      <w:r>
        <w:rPr>
          <w:rFonts w:hint="eastAsia" w:ascii="黑体" w:hAnsi="黑体" w:eastAsia="黑体" w:cs="黑体"/>
          <w:b w:val="0"/>
          <w:i w:val="0"/>
          <w:spacing w:val="0"/>
          <w:sz w:val="24"/>
          <w:szCs w:val="20"/>
        </w:rPr>
        <w:t>硝化系统优化</w:t>
      </w:r>
      <w:bookmarkEnd w:id="59"/>
      <w:r>
        <w:rPr>
          <w:rFonts w:hint="eastAsia" w:ascii="黑体" w:hAnsi="黑体" w:eastAsia="黑体" w:cs="黑体"/>
          <w:b w:val="0"/>
          <w:i w:val="0"/>
          <w:spacing w:val="0"/>
          <w:sz w:val="24"/>
          <w:szCs w:val="20"/>
          <w:lang w:val="en-US" w:eastAsia="zh-CN"/>
        </w:rPr>
        <w:tab/>
      </w:r>
      <w:r>
        <w:rPr>
          <w:rFonts w:hint="eastAsia" w:ascii="黑体" w:hAnsi="黑体" w:eastAsia="黑体" w:cs="黑体"/>
          <w:b w:val="0"/>
          <w:i w:val="0"/>
          <w:spacing w:val="0"/>
          <w:sz w:val="24"/>
          <w:szCs w:val="20"/>
          <w:lang w:val="en-US" w:eastAsia="zh-CN"/>
        </w:rPr>
        <w:tab/>
      </w:r>
    </w:p>
    <w:p w14:paraId="4204B939">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0" w:name="d13faaa8-e69a-4233-bee2-8e4112305bb6"/>
      <w:r>
        <w:rPr>
          <w:rFonts w:hint="eastAsia" w:ascii="黑体" w:hAnsi="黑体" w:eastAsia="黑体" w:cs="黑体"/>
          <w:b w:val="0"/>
          <w:i w:val="0"/>
          <w:spacing w:val="0"/>
          <w:sz w:val="24"/>
          <w:szCs w:val="20"/>
          <w:lang w:val="en-US" w:eastAsia="zh-CN"/>
        </w:rPr>
        <w:t xml:space="preserve">5.3.2 </w:t>
      </w:r>
      <w:r>
        <w:rPr>
          <w:rFonts w:hint="eastAsia" w:ascii="黑体" w:hAnsi="黑体" w:eastAsia="黑体" w:cs="黑体"/>
          <w:b w:val="0"/>
          <w:i w:val="0"/>
          <w:spacing w:val="0"/>
          <w:sz w:val="24"/>
          <w:szCs w:val="20"/>
        </w:rPr>
        <w:t>水草繁殖与品种改良</w:t>
      </w:r>
      <w:bookmarkEnd w:id="60"/>
      <w:r>
        <w:rPr>
          <w:rFonts w:hint="eastAsia" w:ascii="黑体" w:hAnsi="黑体" w:eastAsia="黑体" w:cs="黑体"/>
          <w:b w:val="0"/>
          <w:i w:val="0"/>
          <w:spacing w:val="0"/>
          <w:sz w:val="24"/>
          <w:szCs w:val="20"/>
          <w:lang w:val="en-US" w:eastAsia="zh-CN"/>
        </w:rPr>
        <w:tab/>
      </w:r>
    </w:p>
    <w:p w14:paraId="12ECC814">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1" w:name="06cba9ef-df15-4985-bf83-4e06ccdf6ad5"/>
      <w:r>
        <w:rPr>
          <w:rFonts w:hint="eastAsia" w:ascii="黑体" w:hAnsi="黑体" w:eastAsia="黑体" w:cs="黑体"/>
          <w:b w:val="0"/>
          <w:i w:val="0"/>
          <w:spacing w:val="0"/>
          <w:sz w:val="24"/>
          <w:szCs w:val="20"/>
          <w:lang w:val="en-US" w:eastAsia="zh-CN"/>
        </w:rPr>
        <w:t xml:space="preserve">5.3.3 </w:t>
      </w:r>
      <w:r>
        <w:rPr>
          <w:rFonts w:hint="eastAsia" w:ascii="黑体" w:hAnsi="黑体" w:eastAsia="黑体" w:cs="黑体"/>
          <w:b w:val="0"/>
          <w:i w:val="0"/>
          <w:spacing w:val="0"/>
          <w:sz w:val="24"/>
          <w:szCs w:val="20"/>
        </w:rPr>
        <w:t>生物多样性的动态平衡</w:t>
      </w:r>
      <w:bookmarkEnd w:id="61"/>
      <w:r>
        <w:rPr>
          <w:rFonts w:hint="eastAsia" w:ascii="黑体" w:hAnsi="黑体" w:eastAsia="黑体" w:cs="黑体"/>
          <w:b w:val="0"/>
          <w:i w:val="0"/>
          <w:spacing w:val="0"/>
          <w:sz w:val="24"/>
          <w:szCs w:val="20"/>
          <w:lang w:val="en-US" w:eastAsia="zh-CN"/>
        </w:rPr>
        <w:tab/>
      </w:r>
    </w:p>
    <w:p w14:paraId="43BDB1B6">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62" w:name="89931ed40c2c4b6f8af7ae6389c0f096"/>
      <w:r>
        <w:rPr>
          <w:rFonts w:hint="eastAsia" w:hAnsi="黑体" w:cs="黑体"/>
          <w:b/>
          <w:i w:val="0"/>
          <w:spacing w:val="0"/>
          <w:sz w:val="32"/>
          <w:szCs w:val="21"/>
          <w:lang w:val="en-US" w:eastAsia="zh-CN"/>
        </w:rPr>
        <w:t>6.</w:t>
      </w:r>
      <w:r>
        <w:rPr>
          <w:rFonts w:hint="eastAsia" w:ascii="黑体" w:hAnsi="黑体" w:eastAsia="黑体" w:cs="黑体"/>
          <w:b/>
          <w:i w:val="0"/>
          <w:spacing w:val="0"/>
          <w:sz w:val="32"/>
          <w:szCs w:val="21"/>
        </w:rPr>
        <w:t>经典案例分析与风格研究</w:t>
      </w:r>
      <w:bookmarkEnd w:id="62"/>
    </w:p>
    <w:p w14:paraId="7B43A4D0">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63" w:name="a00f7d11a9f9403c89a2c4ac4baa1734"/>
      <w:r>
        <w:rPr>
          <w:rFonts w:hint="eastAsia" w:ascii="黑体" w:hAnsi="黑体" w:eastAsia="黑体" w:cs="黑体"/>
          <w:b/>
          <w:i w:val="0"/>
          <w:spacing w:val="0"/>
          <w:sz w:val="28"/>
          <w:szCs w:val="20"/>
        </w:rPr>
        <w:t>6.1 国际经典案例</w:t>
      </w:r>
      <w:bookmarkEnd w:id="63"/>
    </w:p>
    <w:p w14:paraId="14A1C70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4" w:name="a4cfd23c-d356-4e58-a3d7-4c79e70eb577"/>
      <w:r>
        <w:rPr>
          <w:rFonts w:hint="eastAsia" w:ascii="黑体" w:hAnsi="黑体" w:eastAsia="黑体" w:cs="黑体"/>
          <w:b w:val="0"/>
          <w:i w:val="0"/>
          <w:spacing w:val="0"/>
          <w:sz w:val="24"/>
          <w:szCs w:val="20"/>
          <w:lang w:val="en-US" w:eastAsia="zh-CN"/>
        </w:rPr>
        <w:t xml:space="preserve">6.1.1 </w:t>
      </w:r>
      <w:r>
        <w:rPr>
          <w:rFonts w:hint="eastAsia" w:ascii="黑体" w:hAnsi="黑体" w:eastAsia="黑体" w:cs="黑体"/>
          <w:b w:val="0"/>
          <w:i w:val="0"/>
          <w:spacing w:val="0"/>
          <w:sz w:val="24"/>
          <w:szCs w:val="20"/>
        </w:rPr>
        <w:t>ADA大赛获奖作品解析</w:t>
      </w:r>
      <w:bookmarkEnd w:id="64"/>
      <w:r>
        <w:rPr>
          <w:rFonts w:hint="eastAsia" w:ascii="黑体" w:hAnsi="黑体" w:eastAsia="黑体" w:cs="黑体"/>
          <w:b w:val="0"/>
          <w:i w:val="0"/>
          <w:spacing w:val="0"/>
          <w:sz w:val="24"/>
          <w:szCs w:val="20"/>
          <w:lang w:val="en-US" w:eastAsia="zh-CN"/>
        </w:rPr>
        <w:tab/>
      </w:r>
    </w:p>
    <w:p w14:paraId="291313A8">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5" w:name="d630b521-83b8-4086-9186-f216eebe5376"/>
      <w:r>
        <w:rPr>
          <w:rFonts w:hint="eastAsia" w:ascii="黑体" w:hAnsi="黑体" w:eastAsia="黑体" w:cs="黑体"/>
          <w:b w:val="0"/>
          <w:i w:val="0"/>
          <w:spacing w:val="0"/>
          <w:sz w:val="24"/>
          <w:szCs w:val="20"/>
          <w:lang w:val="en-US" w:eastAsia="zh-CN"/>
        </w:rPr>
        <w:t xml:space="preserve">6.1.2 </w:t>
      </w:r>
      <w:r>
        <w:rPr>
          <w:rFonts w:hint="eastAsia" w:ascii="黑体" w:hAnsi="黑体" w:eastAsia="黑体" w:cs="黑体"/>
          <w:b w:val="0"/>
          <w:i w:val="0"/>
          <w:spacing w:val="0"/>
          <w:sz w:val="24"/>
          <w:szCs w:val="20"/>
        </w:rPr>
        <w:t>知名造景师作品风格研究
</w:t>
      </w:r>
      <w:r>
        <w:rPr>
          <w:rFonts w:hint="eastAsia" w:ascii="黑体" w:hAnsi="黑体" w:eastAsia="黑体" w:cs="黑体"/>
          <w:b w:val="0"/>
          <w:i w:val="0"/>
          <w:spacing w:val="0"/>
          <w:sz w:val="24"/>
          <w:szCs w:val="20"/>
          <w:lang w:val="en-US" w:eastAsia="zh-CN"/>
        </w:rPr>
        <w:tab/>
      </w:r>
    </w:p>
    <w:p w14:paraId="492467B1">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6.2 不同风格的实践应用</w:t>
      </w:r>
      <w:bookmarkEnd w:id="65"/>
    </w:p>
    <w:p w14:paraId="02227CC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6" w:name="2c270588-f111-4757-8198-e1497ebc408d"/>
      <w:r>
        <w:rPr>
          <w:rFonts w:hint="eastAsia" w:ascii="黑体" w:hAnsi="黑体" w:eastAsia="黑体" w:cs="黑体"/>
          <w:b w:val="0"/>
          <w:i w:val="0"/>
          <w:spacing w:val="0"/>
          <w:sz w:val="24"/>
          <w:szCs w:val="20"/>
          <w:lang w:val="en-US" w:eastAsia="zh-CN"/>
        </w:rPr>
        <w:t xml:space="preserve">6.2.1 </w:t>
      </w:r>
      <w:r>
        <w:rPr>
          <w:rFonts w:hint="eastAsia" w:ascii="黑体" w:hAnsi="黑体" w:eastAsia="黑体" w:cs="黑体"/>
          <w:b w:val="0"/>
          <w:i w:val="0"/>
          <w:spacing w:val="0"/>
          <w:sz w:val="24"/>
          <w:szCs w:val="20"/>
        </w:rPr>
        <w:t>自然风格造景（雨林、溪流等主题）</w:t>
      </w:r>
      <w:bookmarkEnd w:id="66"/>
      <w:r>
        <w:rPr>
          <w:rFonts w:hint="eastAsia" w:ascii="黑体" w:hAnsi="黑体" w:eastAsia="黑体" w:cs="黑体"/>
          <w:b w:val="0"/>
          <w:i w:val="0"/>
          <w:spacing w:val="0"/>
          <w:sz w:val="24"/>
          <w:szCs w:val="20"/>
          <w:lang w:val="en-US" w:eastAsia="zh-CN"/>
        </w:rPr>
        <w:tab/>
      </w:r>
    </w:p>
    <w:p w14:paraId="4E36EAD6">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7" w:name="6a7a8c2a-689b-4f7e-a9b1-6f546e9faa80"/>
      <w:r>
        <w:rPr>
          <w:rFonts w:hint="eastAsia" w:ascii="黑体" w:hAnsi="黑体" w:eastAsia="黑体" w:cs="黑体"/>
          <w:b w:val="0"/>
          <w:i w:val="0"/>
          <w:spacing w:val="0"/>
          <w:sz w:val="24"/>
          <w:szCs w:val="20"/>
          <w:lang w:val="en-US" w:eastAsia="zh-CN"/>
        </w:rPr>
        <w:t xml:space="preserve">6.2.2 </w:t>
      </w:r>
      <w:r>
        <w:rPr>
          <w:rFonts w:hint="eastAsia" w:ascii="黑体" w:hAnsi="黑体" w:eastAsia="黑体" w:cs="黑体"/>
          <w:b w:val="0"/>
          <w:i w:val="0"/>
          <w:spacing w:val="0"/>
          <w:sz w:val="24"/>
          <w:szCs w:val="20"/>
        </w:rPr>
        <w:t>荷兰式水草造景</w:t>
      </w:r>
      <w:bookmarkEnd w:id="67"/>
      <w:r>
        <w:rPr>
          <w:rFonts w:hint="eastAsia" w:ascii="黑体" w:hAnsi="黑体" w:eastAsia="黑体" w:cs="黑体"/>
          <w:b w:val="0"/>
          <w:i w:val="0"/>
          <w:spacing w:val="0"/>
          <w:sz w:val="24"/>
          <w:szCs w:val="20"/>
          <w:lang w:val="en-US" w:eastAsia="zh-CN"/>
        </w:rPr>
        <w:tab/>
      </w:r>
    </w:p>
    <w:p w14:paraId="0C99B53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8" w:name="89a128ce-7566-4e0f-906b-84ee0a6c1228"/>
      <w:r>
        <w:rPr>
          <w:rFonts w:hint="eastAsia" w:ascii="黑体" w:hAnsi="黑体" w:eastAsia="黑体" w:cs="黑体"/>
          <w:b w:val="0"/>
          <w:i w:val="0"/>
          <w:spacing w:val="0"/>
          <w:sz w:val="24"/>
          <w:szCs w:val="20"/>
          <w:lang w:val="en-US" w:eastAsia="zh-CN"/>
        </w:rPr>
        <w:t xml:space="preserve">6.2.3 </w:t>
      </w:r>
      <w:r>
        <w:rPr>
          <w:rFonts w:hint="eastAsia" w:ascii="黑体" w:hAnsi="黑体" w:eastAsia="黑体" w:cs="黑体"/>
          <w:b w:val="0"/>
          <w:i w:val="0"/>
          <w:spacing w:val="0"/>
          <w:sz w:val="24"/>
          <w:szCs w:val="20"/>
        </w:rPr>
        <w:t>日式枯山水风格</w:t>
      </w:r>
      <w:bookmarkEnd w:id="68"/>
      <w:r>
        <w:rPr>
          <w:rFonts w:hint="eastAsia" w:ascii="黑体" w:hAnsi="黑体" w:eastAsia="黑体" w:cs="黑体"/>
          <w:b w:val="0"/>
          <w:i w:val="0"/>
          <w:spacing w:val="0"/>
          <w:sz w:val="24"/>
          <w:szCs w:val="20"/>
          <w:lang w:val="en-US" w:eastAsia="zh-CN"/>
        </w:rPr>
        <w:tab/>
      </w:r>
    </w:p>
    <w:p w14:paraId="0F07CBF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69" w:name="8b20d81f-c5be-4501-a1db-16b396ebeee7"/>
      <w:r>
        <w:rPr>
          <w:rFonts w:hint="eastAsia" w:ascii="黑体" w:hAnsi="黑体" w:eastAsia="黑体" w:cs="黑体"/>
          <w:b w:val="0"/>
          <w:i w:val="0"/>
          <w:spacing w:val="0"/>
          <w:sz w:val="24"/>
          <w:szCs w:val="20"/>
          <w:lang w:val="en-US" w:eastAsia="zh-CN"/>
        </w:rPr>
        <w:t xml:space="preserve">6.2.4 </w:t>
      </w:r>
      <w:r>
        <w:rPr>
          <w:rFonts w:hint="eastAsia" w:ascii="黑体" w:hAnsi="黑体" w:eastAsia="黑体" w:cs="黑体"/>
          <w:b w:val="0"/>
          <w:i w:val="0"/>
          <w:spacing w:val="0"/>
          <w:sz w:val="24"/>
          <w:szCs w:val="20"/>
        </w:rPr>
        <w:t>创意主题造景（科幻、微型景观）
</w:t>
      </w:r>
      <w:r>
        <w:rPr>
          <w:rFonts w:hint="eastAsia" w:ascii="黑体" w:hAnsi="黑体" w:eastAsia="黑体" w:cs="黑体"/>
          <w:b w:val="0"/>
          <w:i w:val="0"/>
          <w:spacing w:val="0"/>
          <w:sz w:val="24"/>
          <w:szCs w:val="20"/>
          <w:lang w:val="en-US" w:eastAsia="zh-CN"/>
        </w:rPr>
        <w:tab/>
      </w:r>
    </w:p>
    <w:p w14:paraId="2C26F7D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6.3 案例总结与启示</w:t>
      </w:r>
      <w:bookmarkEnd w:id="69"/>
    </w:p>
    <w:p w14:paraId="75B974E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0" w:name="2bdd463a-4e36-4ad2-841e-9bc66425a3c2"/>
      <w:r>
        <w:rPr>
          <w:rFonts w:hint="eastAsia" w:ascii="黑体" w:hAnsi="黑体" w:eastAsia="黑体" w:cs="黑体"/>
          <w:b w:val="0"/>
          <w:i w:val="0"/>
          <w:spacing w:val="0"/>
          <w:sz w:val="24"/>
          <w:szCs w:val="20"/>
          <w:lang w:val="en-US" w:eastAsia="zh-CN"/>
        </w:rPr>
        <w:t xml:space="preserve">6.3.1 </w:t>
      </w:r>
      <w:r>
        <w:rPr>
          <w:rFonts w:hint="eastAsia" w:ascii="黑体" w:hAnsi="黑体" w:eastAsia="黑体" w:cs="黑体"/>
          <w:b w:val="0"/>
          <w:i w:val="0"/>
          <w:spacing w:val="0"/>
          <w:sz w:val="24"/>
          <w:szCs w:val="20"/>
        </w:rPr>
        <w:t>成功要素提炼</w:t>
      </w:r>
      <w:bookmarkEnd w:id="70"/>
      <w:r>
        <w:rPr>
          <w:rFonts w:hint="eastAsia" w:ascii="黑体" w:hAnsi="黑体" w:eastAsia="黑体" w:cs="黑体"/>
          <w:b w:val="0"/>
          <w:i w:val="0"/>
          <w:spacing w:val="0"/>
          <w:sz w:val="24"/>
          <w:szCs w:val="20"/>
          <w:lang w:val="en-US" w:eastAsia="zh-CN"/>
        </w:rPr>
        <w:tab/>
      </w:r>
    </w:p>
    <w:p w14:paraId="29D99DED">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1" w:name="3de2ec8f-0527-4956-8e2f-e0633475840f"/>
      <w:r>
        <w:rPr>
          <w:rFonts w:hint="eastAsia" w:ascii="黑体" w:hAnsi="黑体" w:eastAsia="黑体" w:cs="黑体"/>
          <w:b w:val="0"/>
          <w:i w:val="0"/>
          <w:spacing w:val="0"/>
          <w:sz w:val="24"/>
          <w:szCs w:val="20"/>
          <w:lang w:val="en-US" w:eastAsia="zh-CN"/>
        </w:rPr>
        <w:t xml:space="preserve">6.3.2 </w:t>
      </w:r>
      <w:r>
        <w:rPr>
          <w:rFonts w:hint="eastAsia" w:ascii="黑体" w:hAnsi="黑体" w:eastAsia="黑体" w:cs="黑体"/>
          <w:b w:val="0"/>
          <w:i w:val="0"/>
          <w:spacing w:val="0"/>
          <w:sz w:val="24"/>
          <w:szCs w:val="20"/>
        </w:rPr>
        <w:t>失败案例教训</w:t>
      </w:r>
      <w:bookmarkEnd w:id="71"/>
      <w:r>
        <w:rPr>
          <w:rFonts w:hint="eastAsia" w:ascii="黑体" w:hAnsi="黑体" w:eastAsia="黑体" w:cs="黑体"/>
          <w:b w:val="0"/>
          <w:i w:val="0"/>
          <w:spacing w:val="0"/>
          <w:sz w:val="24"/>
          <w:szCs w:val="20"/>
          <w:lang w:val="en-US" w:eastAsia="zh-CN"/>
        </w:rPr>
        <w:tab/>
      </w:r>
    </w:p>
    <w:p w14:paraId="077899A7">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72" w:name="e83dce6c264e48b18984c459d4fa40c7"/>
      <w:r>
        <w:rPr>
          <w:rFonts w:hint="eastAsia" w:hAnsi="黑体" w:cs="黑体"/>
          <w:b/>
          <w:i w:val="0"/>
          <w:spacing w:val="0"/>
          <w:sz w:val="32"/>
          <w:szCs w:val="21"/>
          <w:lang w:val="en-US" w:eastAsia="zh-CN"/>
        </w:rPr>
        <w:t>7.</w:t>
      </w:r>
      <w:r>
        <w:rPr>
          <w:rFonts w:hint="eastAsia" w:ascii="黑体" w:hAnsi="黑体" w:eastAsia="黑体" w:cs="黑体"/>
          <w:b/>
          <w:i w:val="0"/>
          <w:spacing w:val="0"/>
          <w:sz w:val="32"/>
          <w:szCs w:val="21"/>
        </w:rPr>
        <w:t>行业现状与未来趋势</w:t>
      </w:r>
      <w:bookmarkEnd w:id="72"/>
    </w:p>
    <w:p w14:paraId="5FC7F4AC">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lang w:val="en-US" w:eastAsia="zh-CN"/>
        </w:rPr>
      </w:pPr>
      <w:bookmarkStart w:id="73" w:name="6433de64cce141b5b934041443714d8f"/>
      <w:r>
        <w:rPr>
          <w:rFonts w:hint="eastAsia" w:ascii="黑体" w:hAnsi="黑体" w:eastAsia="黑体" w:cs="黑体"/>
          <w:b/>
          <w:i w:val="0"/>
          <w:spacing w:val="0"/>
          <w:sz w:val="28"/>
          <w:szCs w:val="20"/>
        </w:rPr>
        <w:t>7.1 产业链分析</w:t>
      </w:r>
      <w:bookmarkEnd w:id="73"/>
    </w:p>
    <w:p w14:paraId="52E3001F">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4" w:name="1db1fe00-3b97-494c-9b6b-b265a587ca83"/>
      <w:r>
        <w:rPr>
          <w:rFonts w:hint="eastAsia" w:ascii="黑体" w:hAnsi="黑体" w:eastAsia="黑体" w:cs="黑体"/>
          <w:b w:val="0"/>
          <w:i w:val="0"/>
          <w:spacing w:val="0"/>
          <w:sz w:val="24"/>
          <w:szCs w:val="20"/>
          <w:lang w:val="en-US" w:eastAsia="zh-CN"/>
        </w:rPr>
        <w:t xml:space="preserve">7.1.1 </w:t>
      </w:r>
      <w:r>
        <w:rPr>
          <w:rFonts w:hint="eastAsia" w:ascii="黑体" w:hAnsi="黑体" w:eastAsia="黑体" w:cs="黑体"/>
          <w:b w:val="0"/>
          <w:i w:val="0"/>
          <w:spacing w:val="0"/>
          <w:sz w:val="24"/>
          <w:szCs w:val="20"/>
        </w:rPr>
        <w:t>上下游产业（设备制造、水草培育、服务业）</w:t>
      </w:r>
      <w:bookmarkEnd w:id="74"/>
      <w:r>
        <w:rPr>
          <w:rFonts w:hint="eastAsia" w:ascii="黑体" w:hAnsi="黑体" w:eastAsia="黑体" w:cs="黑体"/>
          <w:b w:val="0"/>
          <w:i w:val="0"/>
          <w:spacing w:val="0"/>
          <w:sz w:val="24"/>
          <w:szCs w:val="20"/>
          <w:lang w:val="en-US" w:eastAsia="zh-CN"/>
        </w:rPr>
        <w:tab/>
      </w:r>
    </w:p>
    <w:p w14:paraId="2B0EBE0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5" w:name="4952e8e4-ed54-461f-a1d1-dabba7be7f11"/>
      <w:r>
        <w:rPr>
          <w:rFonts w:hint="eastAsia" w:ascii="黑体" w:hAnsi="黑体" w:eastAsia="黑体" w:cs="黑体"/>
          <w:b w:val="0"/>
          <w:i w:val="0"/>
          <w:spacing w:val="0"/>
          <w:sz w:val="24"/>
          <w:szCs w:val="20"/>
          <w:lang w:val="en-US" w:eastAsia="zh-CN"/>
        </w:rPr>
        <w:t xml:space="preserve">7.1.2 </w:t>
      </w:r>
      <w:r>
        <w:rPr>
          <w:rFonts w:hint="eastAsia" w:ascii="黑体" w:hAnsi="黑体" w:eastAsia="黑体" w:cs="黑体"/>
          <w:b w:val="0"/>
          <w:i w:val="0"/>
          <w:spacing w:val="0"/>
          <w:sz w:val="24"/>
          <w:szCs w:val="20"/>
        </w:rPr>
        <w:t>市场规模与增长潜力</w:t>
      </w:r>
      <w:bookmarkEnd w:id="75"/>
      <w:r>
        <w:rPr>
          <w:rFonts w:hint="eastAsia" w:ascii="黑体" w:hAnsi="黑体" w:eastAsia="黑体" w:cs="黑体"/>
          <w:b w:val="0"/>
          <w:i w:val="0"/>
          <w:spacing w:val="0"/>
          <w:sz w:val="24"/>
          <w:szCs w:val="20"/>
          <w:lang w:val="en-US" w:eastAsia="zh-CN"/>
        </w:rPr>
        <w:tab/>
      </w:r>
    </w:p>
    <w:p w14:paraId="2288311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6" w:name="0cbe4b62-18b4-4443-bad0-7a584596d80d"/>
      <w:r>
        <w:rPr>
          <w:rFonts w:hint="eastAsia" w:ascii="黑体" w:hAnsi="黑体" w:eastAsia="黑体" w:cs="黑体"/>
          <w:b w:val="0"/>
          <w:i w:val="0"/>
          <w:spacing w:val="0"/>
          <w:sz w:val="24"/>
          <w:szCs w:val="20"/>
          <w:lang w:val="en-US" w:eastAsia="zh-CN"/>
        </w:rPr>
        <w:t xml:space="preserve">7.1.3 </w:t>
      </w:r>
      <w:r>
        <w:rPr>
          <w:rFonts w:hint="eastAsia" w:ascii="黑体" w:hAnsi="黑体" w:eastAsia="黑体" w:cs="黑体"/>
          <w:b w:val="0"/>
          <w:i w:val="0"/>
          <w:spacing w:val="0"/>
          <w:sz w:val="24"/>
          <w:szCs w:val="20"/>
        </w:rPr>
        <w:t>消费者需求变化
</w:t>
      </w:r>
      <w:r>
        <w:rPr>
          <w:rFonts w:hint="eastAsia" w:ascii="黑体" w:hAnsi="黑体" w:eastAsia="黑体" w:cs="黑体"/>
          <w:b w:val="0"/>
          <w:i w:val="0"/>
          <w:spacing w:val="0"/>
          <w:sz w:val="24"/>
          <w:szCs w:val="20"/>
          <w:lang w:val="en-US" w:eastAsia="zh-CN"/>
        </w:rPr>
        <w:tab/>
      </w:r>
    </w:p>
    <w:p w14:paraId="5E00C545">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7.2 技术发展趋势</w:t>
      </w:r>
      <w:bookmarkEnd w:id="76"/>
    </w:p>
    <w:p w14:paraId="47F62EDE">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7" w:name="c1d761c1-b4c8-4fab-85bd-e1f31518790f"/>
      <w:r>
        <w:rPr>
          <w:rFonts w:hint="eastAsia" w:ascii="黑体" w:hAnsi="黑体" w:eastAsia="黑体" w:cs="黑体"/>
          <w:b w:val="0"/>
          <w:i w:val="0"/>
          <w:spacing w:val="0"/>
          <w:sz w:val="24"/>
          <w:szCs w:val="20"/>
          <w:lang w:val="en-US" w:eastAsia="zh-CN"/>
        </w:rPr>
        <w:t xml:space="preserve">7.2.1 </w:t>
      </w:r>
      <w:r>
        <w:rPr>
          <w:rFonts w:hint="eastAsia" w:ascii="黑体" w:hAnsi="黑体" w:eastAsia="黑体" w:cs="黑体"/>
          <w:b w:val="0"/>
          <w:i w:val="0"/>
          <w:spacing w:val="0"/>
          <w:sz w:val="24"/>
          <w:szCs w:val="20"/>
        </w:rPr>
        <w:t>智能化与自动化</w:t>
      </w:r>
      <w:bookmarkEnd w:id="77"/>
      <w:r>
        <w:rPr>
          <w:rFonts w:hint="eastAsia" w:ascii="黑体" w:hAnsi="黑体" w:eastAsia="黑体" w:cs="黑体"/>
          <w:b w:val="0"/>
          <w:i w:val="0"/>
          <w:spacing w:val="0"/>
          <w:sz w:val="24"/>
          <w:szCs w:val="20"/>
          <w:lang w:val="en-US" w:eastAsia="zh-CN"/>
        </w:rPr>
        <w:tab/>
      </w:r>
    </w:p>
    <w:p w14:paraId="54C2134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8" w:name="2fcaa12f-88ff-451d-9441-3b4c7dc91d14"/>
      <w:r>
        <w:rPr>
          <w:rFonts w:hint="eastAsia" w:ascii="黑体" w:hAnsi="黑体" w:eastAsia="黑体" w:cs="黑体"/>
          <w:b w:val="0"/>
          <w:i w:val="0"/>
          <w:spacing w:val="0"/>
          <w:sz w:val="24"/>
          <w:szCs w:val="20"/>
          <w:lang w:val="en-US" w:eastAsia="zh-CN"/>
        </w:rPr>
        <w:t xml:space="preserve">7.2.2 </w:t>
      </w:r>
      <w:r>
        <w:rPr>
          <w:rFonts w:hint="eastAsia" w:ascii="黑体" w:hAnsi="黑体" w:eastAsia="黑体" w:cs="黑体"/>
          <w:b w:val="0"/>
          <w:i w:val="0"/>
          <w:spacing w:val="0"/>
          <w:sz w:val="24"/>
          <w:szCs w:val="20"/>
        </w:rPr>
        <w:t>生态可持续技术</w:t>
      </w:r>
      <w:bookmarkEnd w:id="78"/>
      <w:r>
        <w:rPr>
          <w:rFonts w:hint="eastAsia" w:ascii="黑体" w:hAnsi="黑体" w:eastAsia="黑体" w:cs="黑体"/>
          <w:b w:val="0"/>
          <w:i w:val="0"/>
          <w:spacing w:val="0"/>
          <w:sz w:val="24"/>
          <w:szCs w:val="20"/>
          <w:lang w:val="en-US" w:eastAsia="zh-CN"/>
        </w:rPr>
        <w:tab/>
      </w:r>
    </w:p>
    <w:p w14:paraId="5A2C84DD">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79" w:name="b6be1743-86d4-4e14-84fb-d804f5a8acbc"/>
      <w:r>
        <w:rPr>
          <w:rFonts w:hint="eastAsia" w:ascii="黑体" w:hAnsi="黑体" w:eastAsia="黑体" w:cs="黑体"/>
          <w:b w:val="0"/>
          <w:i w:val="0"/>
          <w:spacing w:val="0"/>
          <w:sz w:val="24"/>
          <w:szCs w:val="20"/>
          <w:lang w:val="en-US" w:eastAsia="zh-CN"/>
        </w:rPr>
        <w:t xml:space="preserve">7.2.3 </w:t>
      </w:r>
      <w:r>
        <w:rPr>
          <w:rFonts w:hint="eastAsia" w:ascii="黑体" w:hAnsi="黑体" w:eastAsia="黑体" w:cs="黑体"/>
          <w:b w:val="0"/>
          <w:i w:val="0"/>
          <w:spacing w:val="0"/>
          <w:sz w:val="24"/>
          <w:szCs w:val="20"/>
        </w:rPr>
        <w:t>跨界融合（艺术、科技、教育）
</w:t>
      </w:r>
      <w:r>
        <w:rPr>
          <w:rFonts w:hint="eastAsia" w:ascii="黑体" w:hAnsi="黑体" w:eastAsia="黑体" w:cs="黑体"/>
          <w:b w:val="0"/>
          <w:i w:val="0"/>
          <w:spacing w:val="0"/>
          <w:sz w:val="24"/>
          <w:szCs w:val="20"/>
          <w:lang w:val="en-US" w:eastAsia="zh-CN"/>
        </w:rPr>
        <w:tab/>
      </w:r>
    </w:p>
    <w:p w14:paraId="25F09F56">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7.3 挑战与机遇</w:t>
      </w:r>
      <w:bookmarkEnd w:id="79"/>
    </w:p>
    <w:p w14:paraId="3E001C52">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0" w:name="0f7b83c4-693d-4936-9f32-7b4c4d78f725"/>
      <w:r>
        <w:rPr>
          <w:rFonts w:hint="eastAsia" w:ascii="黑体" w:hAnsi="黑体" w:eastAsia="黑体" w:cs="黑体"/>
          <w:b w:val="0"/>
          <w:i w:val="0"/>
          <w:spacing w:val="0"/>
          <w:sz w:val="24"/>
          <w:szCs w:val="20"/>
          <w:lang w:val="en-US" w:eastAsia="zh-CN"/>
        </w:rPr>
        <w:t xml:space="preserve">7.3.1 </w:t>
      </w:r>
      <w:r>
        <w:rPr>
          <w:rFonts w:hint="eastAsia" w:ascii="黑体" w:hAnsi="黑体" w:eastAsia="黑体" w:cs="黑体"/>
          <w:b w:val="0"/>
          <w:i w:val="0"/>
          <w:spacing w:val="0"/>
          <w:sz w:val="24"/>
          <w:szCs w:val="20"/>
        </w:rPr>
        <w:t>环保法规的影响</w:t>
      </w:r>
      <w:bookmarkEnd w:id="80"/>
      <w:r>
        <w:rPr>
          <w:rFonts w:hint="eastAsia" w:ascii="黑体" w:hAnsi="黑体" w:eastAsia="黑体" w:cs="黑体"/>
          <w:b w:val="0"/>
          <w:i w:val="0"/>
          <w:spacing w:val="0"/>
          <w:sz w:val="24"/>
          <w:szCs w:val="20"/>
          <w:lang w:val="en-US" w:eastAsia="zh-CN"/>
        </w:rPr>
        <w:tab/>
      </w:r>
    </w:p>
    <w:p w14:paraId="25DE7823">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1" w:name="95c0ad6f-64ff-4c50-8b44-69f4a073afce"/>
      <w:r>
        <w:rPr>
          <w:rFonts w:hint="eastAsia" w:ascii="黑体" w:hAnsi="黑体" w:eastAsia="黑体" w:cs="黑体"/>
          <w:b w:val="0"/>
          <w:i w:val="0"/>
          <w:spacing w:val="0"/>
          <w:sz w:val="24"/>
          <w:szCs w:val="20"/>
          <w:lang w:val="en-US" w:eastAsia="zh-CN"/>
        </w:rPr>
        <w:t xml:space="preserve">7.3.2 </w:t>
      </w:r>
      <w:r>
        <w:rPr>
          <w:rFonts w:hint="eastAsia" w:ascii="黑体" w:hAnsi="黑体" w:eastAsia="黑体" w:cs="黑体"/>
          <w:b w:val="0"/>
          <w:i w:val="0"/>
          <w:spacing w:val="0"/>
          <w:sz w:val="24"/>
          <w:szCs w:val="20"/>
        </w:rPr>
        <w:t>消费者教育需求</w:t>
      </w:r>
      <w:bookmarkEnd w:id="81"/>
      <w:r>
        <w:rPr>
          <w:rFonts w:hint="eastAsia" w:ascii="黑体" w:hAnsi="黑体" w:eastAsia="黑体" w:cs="黑体"/>
          <w:b w:val="0"/>
          <w:i w:val="0"/>
          <w:spacing w:val="0"/>
          <w:sz w:val="24"/>
          <w:szCs w:val="20"/>
          <w:lang w:val="en-US" w:eastAsia="zh-CN"/>
        </w:rPr>
        <w:tab/>
      </w:r>
    </w:p>
    <w:p w14:paraId="63412197">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2" w:name="28b3a0f1-1331-4c84-b3b6-00421a4080fd"/>
      <w:r>
        <w:rPr>
          <w:rFonts w:hint="eastAsia" w:ascii="黑体" w:hAnsi="黑体" w:eastAsia="黑体" w:cs="黑体"/>
          <w:b w:val="0"/>
          <w:i w:val="0"/>
          <w:spacing w:val="0"/>
          <w:sz w:val="24"/>
          <w:szCs w:val="20"/>
          <w:lang w:val="en-US" w:eastAsia="zh-CN"/>
        </w:rPr>
        <w:t xml:space="preserve">7.3.3 </w:t>
      </w:r>
      <w:r>
        <w:rPr>
          <w:rFonts w:hint="eastAsia" w:ascii="黑体" w:hAnsi="黑体" w:eastAsia="黑体" w:cs="黑体"/>
          <w:b w:val="0"/>
          <w:i w:val="0"/>
          <w:spacing w:val="0"/>
          <w:sz w:val="24"/>
          <w:szCs w:val="20"/>
        </w:rPr>
        <w:t>全球化竞争与合作</w:t>
      </w:r>
      <w:bookmarkEnd w:id="82"/>
      <w:r>
        <w:rPr>
          <w:rFonts w:hint="eastAsia" w:ascii="黑体" w:hAnsi="黑体" w:eastAsia="黑体" w:cs="黑体"/>
          <w:b w:val="0"/>
          <w:i w:val="0"/>
          <w:spacing w:val="0"/>
          <w:sz w:val="24"/>
          <w:szCs w:val="20"/>
          <w:lang w:val="en-US" w:eastAsia="zh-CN"/>
        </w:rPr>
        <w:tab/>
      </w:r>
    </w:p>
    <w:p w14:paraId="55B679C0">
      <w:pPr>
        <w:pStyle w:val="7"/>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21"/>
        </w:rPr>
      </w:pPr>
      <w:bookmarkStart w:id="83" w:name="22d794471a6c4c8fb2cb08f66fd63fb3"/>
      <w:r>
        <w:rPr>
          <w:rFonts w:hint="eastAsia" w:hAnsi="黑体" w:cs="黑体"/>
          <w:b/>
          <w:i w:val="0"/>
          <w:spacing w:val="0"/>
          <w:sz w:val="32"/>
          <w:szCs w:val="21"/>
          <w:lang w:val="en-US" w:eastAsia="zh-CN"/>
        </w:rPr>
        <w:t>8.</w:t>
      </w:r>
      <w:r>
        <w:rPr>
          <w:rFonts w:hint="eastAsia" w:ascii="黑体" w:hAnsi="黑体" w:eastAsia="黑体" w:cs="黑体"/>
          <w:b/>
          <w:i w:val="0"/>
          <w:spacing w:val="0"/>
          <w:sz w:val="32"/>
          <w:szCs w:val="21"/>
        </w:rPr>
        <w:t>结论与建议</w:t>
      </w:r>
      <w:bookmarkEnd w:id="83"/>
    </w:p>
    <w:p w14:paraId="21FB32A0">
      <w:pPr>
        <w:pStyle w:val="8"/>
        <w:keepNext w:val="0"/>
        <w:keepLines w:val="0"/>
        <w:pageBreakBefore w:val="0"/>
        <w:widowControl/>
        <w:tabs>
          <w:tab w:val="righ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0"/>
        </w:rPr>
      </w:pPr>
      <w:bookmarkStart w:id="84" w:name="d85d4af35f624bfeaebf77fd0d49cd94"/>
      <w:r>
        <w:rPr>
          <w:rFonts w:hint="eastAsia" w:ascii="黑体" w:hAnsi="黑体" w:eastAsia="黑体" w:cs="黑体"/>
          <w:b/>
          <w:i w:val="0"/>
          <w:spacing w:val="0"/>
          <w:sz w:val="28"/>
          <w:szCs w:val="20"/>
        </w:rPr>
        <w:t>8.1 核心观点总结</w:t>
      </w:r>
      <w:bookmarkEnd w:id="84"/>
    </w:p>
    <w:p w14:paraId="7B032504">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5" w:name="6c33e0ab-ce9c-4338-aae7-bde2bdac4f69"/>
      <w:r>
        <w:rPr>
          <w:rFonts w:hint="eastAsia" w:ascii="黑体" w:hAnsi="黑体" w:eastAsia="黑体" w:cs="黑体"/>
          <w:b w:val="0"/>
          <w:i w:val="0"/>
          <w:spacing w:val="0"/>
          <w:sz w:val="24"/>
          <w:szCs w:val="20"/>
          <w:lang w:val="en-US" w:eastAsia="zh-CN"/>
        </w:rPr>
        <w:t xml:space="preserve">8.1.1 </w:t>
      </w:r>
      <w:r>
        <w:rPr>
          <w:rFonts w:hint="eastAsia" w:ascii="黑体" w:hAnsi="黑体" w:eastAsia="黑体" w:cs="黑体"/>
          <w:b w:val="0"/>
          <w:i w:val="0"/>
          <w:spacing w:val="0"/>
          <w:sz w:val="24"/>
          <w:szCs w:val="20"/>
        </w:rPr>
        <w:t>水族造景的关键成功因素</w:t>
      </w:r>
      <w:bookmarkEnd w:id="85"/>
      <w:r>
        <w:rPr>
          <w:rFonts w:hint="eastAsia" w:ascii="黑体" w:hAnsi="黑体" w:eastAsia="黑体" w:cs="黑体"/>
          <w:b w:val="0"/>
          <w:i w:val="0"/>
          <w:spacing w:val="0"/>
          <w:sz w:val="24"/>
          <w:szCs w:val="20"/>
          <w:lang w:val="en-US" w:eastAsia="zh-CN"/>
        </w:rPr>
        <w:tab/>
      </w:r>
    </w:p>
    <w:p w14:paraId="65FC580B">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6" w:name="a73e690f-4c6a-4300-82df-4843ad0de0db"/>
      <w:r>
        <w:rPr>
          <w:rFonts w:hint="eastAsia" w:ascii="黑体" w:hAnsi="黑体" w:eastAsia="黑体" w:cs="黑体"/>
          <w:b w:val="0"/>
          <w:i w:val="0"/>
          <w:spacing w:val="0"/>
          <w:sz w:val="24"/>
          <w:szCs w:val="20"/>
          <w:lang w:val="en-US" w:eastAsia="zh-CN"/>
        </w:rPr>
        <w:t xml:space="preserve">8.1.2 </w:t>
      </w:r>
      <w:r>
        <w:rPr>
          <w:rFonts w:hint="eastAsia" w:ascii="黑体" w:hAnsi="黑体" w:eastAsia="黑体" w:cs="黑体"/>
          <w:b w:val="0"/>
          <w:i w:val="0"/>
          <w:spacing w:val="0"/>
          <w:sz w:val="24"/>
          <w:szCs w:val="20"/>
        </w:rPr>
        <w:t>对行业发展的核心观点
</w:t>
      </w:r>
      <w:r>
        <w:rPr>
          <w:rFonts w:hint="eastAsia" w:ascii="黑体" w:hAnsi="黑体" w:eastAsia="黑体" w:cs="黑体"/>
          <w:b w:val="0"/>
          <w:i w:val="0"/>
          <w:spacing w:val="0"/>
          <w:sz w:val="24"/>
          <w:szCs w:val="20"/>
          <w:lang w:val="en-US" w:eastAsia="zh-CN"/>
        </w:rPr>
        <w:tab/>
      </w:r>
    </w:p>
    <w:p w14:paraId="680F8DB0">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8.2 实践建议</w:t>
      </w:r>
      <w:bookmarkEnd w:id="86"/>
    </w:p>
    <w:p w14:paraId="1541C3D9">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7" w:name="ac87c4f7-7236-48f7-baa0-e07298a7b9b7"/>
      <w:r>
        <w:rPr>
          <w:rFonts w:hint="eastAsia" w:ascii="黑体" w:hAnsi="黑体" w:eastAsia="黑体" w:cs="黑体"/>
          <w:b w:val="0"/>
          <w:i w:val="0"/>
          <w:spacing w:val="0"/>
          <w:sz w:val="24"/>
          <w:szCs w:val="20"/>
          <w:lang w:val="en-US" w:eastAsia="zh-CN"/>
        </w:rPr>
        <w:t xml:space="preserve">8.2.1 </w:t>
      </w:r>
      <w:r>
        <w:rPr>
          <w:rFonts w:hint="eastAsia" w:ascii="黑体" w:hAnsi="黑体" w:eastAsia="黑体" w:cs="黑体"/>
          <w:b w:val="0"/>
          <w:i w:val="0"/>
          <w:spacing w:val="0"/>
          <w:sz w:val="24"/>
          <w:szCs w:val="20"/>
        </w:rPr>
        <w:t>针对爱好者的入门与进阶指南</w:t>
      </w:r>
      <w:bookmarkEnd w:id="87"/>
      <w:r>
        <w:rPr>
          <w:rFonts w:hint="eastAsia" w:ascii="黑体" w:hAnsi="黑体" w:eastAsia="黑体" w:cs="黑体"/>
          <w:b w:val="0"/>
          <w:i w:val="0"/>
          <w:spacing w:val="0"/>
          <w:sz w:val="24"/>
          <w:szCs w:val="20"/>
          <w:lang w:val="en-US" w:eastAsia="zh-CN"/>
        </w:rPr>
        <w:tab/>
      </w:r>
    </w:p>
    <w:p w14:paraId="2A670248">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8" w:name="1da6d5fc-5f51-4c82-ad41-308b3228bf55"/>
      <w:r>
        <w:rPr>
          <w:rFonts w:hint="eastAsia" w:ascii="黑体" w:hAnsi="黑体" w:eastAsia="黑体" w:cs="黑体"/>
          <w:b w:val="0"/>
          <w:i w:val="0"/>
          <w:spacing w:val="0"/>
          <w:sz w:val="24"/>
          <w:szCs w:val="20"/>
          <w:lang w:val="en-US" w:eastAsia="zh-CN"/>
        </w:rPr>
        <w:t xml:space="preserve">8.2.2 </w:t>
      </w:r>
      <w:r>
        <w:rPr>
          <w:rFonts w:hint="eastAsia" w:ascii="黑体" w:hAnsi="黑体" w:eastAsia="黑体" w:cs="黑体"/>
          <w:b w:val="0"/>
          <w:i w:val="0"/>
          <w:spacing w:val="0"/>
          <w:sz w:val="24"/>
          <w:szCs w:val="20"/>
        </w:rPr>
        <w:t>针对从业者的技术提升建议</w:t>
      </w:r>
      <w:bookmarkEnd w:id="88"/>
      <w:r>
        <w:rPr>
          <w:rFonts w:hint="eastAsia" w:ascii="黑体" w:hAnsi="黑体" w:eastAsia="黑体" w:cs="黑体"/>
          <w:b w:val="0"/>
          <w:i w:val="0"/>
          <w:spacing w:val="0"/>
          <w:sz w:val="24"/>
          <w:szCs w:val="20"/>
          <w:lang w:val="en-US" w:eastAsia="zh-CN"/>
        </w:rPr>
        <w:tab/>
      </w:r>
    </w:p>
    <w:p w14:paraId="223B0B2E">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89" w:name="c861f639-cb9c-4ca9-973e-d6fa27edf806"/>
      <w:r>
        <w:rPr>
          <w:rFonts w:hint="eastAsia" w:ascii="黑体" w:hAnsi="黑体" w:eastAsia="黑体" w:cs="黑体"/>
          <w:b w:val="0"/>
          <w:i w:val="0"/>
          <w:spacing w:val="0"/>
          <w:sz w:val="24"/>
          <w:szCs w:val="20"/>
          <w:lang w:val="en-US" w:eastAsia="zh-CN"/>
        </w:rPr>
        <w:t xml:space="preserve">8.2.3 </w:t>
      </w:r>
      <w:r>
        <w:rPr>
          <w:rFonts w:hint="eastAsia" w:ascii="黑体" w:hAnsi="黑体" w:eastAsia="黑体" w:cs="黑体"/>
          <w:b w:val="0"/>
          <w:i w:val="0"/>
          <w:spacing w:val="0"/>
          <w:sz w:val="24"/>
          <w:szCs w:val="20"/>
        </w:rPr>
        <w:t>政策与教育建议
</w:t>
      </w:r>
      <w:r>
        <w:rPr>
          <w:rFonts w:hint="eastAsia" w:ascii="黑体" w:hAnsi="黑体" w:eastAsia="黑体" w:cs="黑体"/>
          <w:b w:val="0"/>
          <w:i w:val="0"/>
          <w:spacing w:val="0"/>
          <w:sz w:val="24"/>
          <w:szCs w:val="20"/>
          <w:lang w:val="en-US" w:eastAsia="zh-CN"/>
        </w:rPr>
        <w:tab/>
      </w:r>
    </w:p>
    <w:p w14:paraId="39B09EDC">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b/>
          <w:bCs/>
          <w:sz w:val="28"/>
          <w:szCs w:val="21"/>
        </w:rPr>
      </w:pPr>
      <w:r>
        <w:rPr>
          <w:rFonts w:hint="eastAsia" w:ascii="黑体" w:hAnsi="黑体" w:eastAsia="黑体" w:cs="黑体"/>
          <w:b/>
          <w:bCs/>
          <w:i w:val="0"/>
          <w:spacing w:val="0"/>
          <w:sz w:val="28"/>
          <w:szCs w:val="21"/>
        </w:rPr>
        <w:t>8.3 未来研究方向</w:t>
      </w:r>
      <w:bookmarkEnd w:id="89"/>
    </w:p>
    <w:p w14:paraId="7E3E8E61">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90" w:name="9f5a479e-52e7-4be8-82ac-a7a446f89f3e"/>
      <w:r>
        <w:rPr>
          <w:rFonts w:hint="eastAsia" w:ascii="黑体" w:hAnsi="黑体" w:eastAsia="黑体" w:cs="黑体"/>
          <w:b w:val="0"/>
          <w:i w:val="0"/>
          <w:spacing w:val="0"/>
          <w:sz w:val="24"/>
          <w:szCs w:val="20"/>
          <w:lang w:val="en-US" w:eastAsia="zh-CN"/>
        </w:rPr>
        <w:t xml:space="preserve">8.3.1 </w:t>
      </w:r>
      <w:r>
        <w:rPr>
          <w:rFonts w:hint="eastAsia" w:ascii="黑体" w:hAnsi="黑体" w:eastAsia="黑体" w:cs="黑体"/>
          <w:b w:val="0"/>
          <w:i w:val="0"/>
          <w:spacing w:val="0"/>
          <w:sz w:val="24"/>
          <w:szCs w:val="20"/>
        </w:rPr>
        <w:t>待解决的技术难题</w:t>
      </w:r>
      <w:bookmarkEnd w:id="90"/>
      <w:r>
        <w:rPr>
          <w:rFonts w:hint="eastAsia" w:ascii="黑体" w:hAnsi="黑体" w:eastAsia="黑体" w:cs="黑体"/>
          <w:b w:val="0"/>
          <w:i w:val="0"/>
          <w:spacing w:val="0"/>
          <w:sz w:val="24"/>
          <w:szCs w:val="20"/>
          <w:lang w:val="en-US" w:eastAsia="zh-CN"/>
        </w:rPr>
        <w:tab/>
      </w:r>
    </w:p>
    <w:p w14:paraId="34527671">
      <w:pPr>
        <w:pStyle w:val="9"/>
        <w:keepNext w:val="0"/>
        <w:keepLines w:val="0"/>
        <w:pageBreakBefore w:val="0"/>
        <w:widowControl/>
        <w:numPr>
          <w:ilvl w:val="0"/>
          <w:numId w:val="0"/>
        </w:numPr>
        <w:tabs>
          <w:tab w:val="righ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0"/>
          <w:lang w:val="en-US" w:eastAsia="zh-CN"/>
        </w:rPr>
      </w:pPr>
      <w:bookmarkStart w:id="91" w:name="ec534f17-4e10-4a30-98e6-39106649fcbd"/>
      <w:r>
        <w:rPr>
          <w:rFonts w:hint="eastAsia" w:ascii="黑体" w:hAnsi="黑体" w:eastAsia="黑体" w:cs="黑体"/>
          <w:b w:val="0"/>
          <w:i w:val="0"/>
          <w:spacing w:val="0"/>
          <w:sz w:val="24"/>
          <w:szCs w:val="20"/>
          <w:lang w:val="en-US" w:eastAsia="zh-CN"/>
        </w:rPr>
        <w:t xml:space="preserve">8.3.2 </w:t>
      </w:r>
      <w:r>
        <w:rPr>
          <w:rFonts w:hint="eastAsia" w:ascii="黑体" w:hAnsi="黑体" w:eastAsia="黑体" w:cs="黑体"/>
          <w:b w:val="0"/>
          <w:i w:val="0"/>
          <w:spacing w:val="0"/>
          <w:sz w:val="24"/>
          <w:szCs w:val="20"/>
        </w:rPr>
        <w:t>跨学科研究潜力</w:t>
      </w:r>
      <w:bookmarkEnd w:id="91"/>
      <w:r>
        <w:rPr>
          <w:rFonts w:hint="eastAsia" w:ascii="黑体" w:hAnsi="黑体" w:eastAsia="黑体" w:cs="黑体"/>
          <w:b w:val="0"/>
          <w:i w:val="0"/>
          <w:spacing w:val="0"/>
          <w:sz w:val="24"/>
          <w:szCs w:val="20"/>
          <w:lang w:val="en-US" w:eastAsia="zh-CN"/>
        </w:rPr>
        <w:tab/>
      </w:r>
    </w:p>
    <w:p w14:paraId="5EB8D0DF">
      <w:pPr>
        <w:spacing w:line="240" w:lineRule="auto"/>
        <w:ind w:left="0" w:firstLine="0"/>
        <w:rPr>
          <w:rFonts w:hint="default" w:eastAsiaTheme="minorEastAsia"/>
          <w:lang w:val="en-US" w:eastAsia="zh-CN"/>
        </w:rPr>
      </w:pPr>
    </w:p>
    <w:p w14:paraId="2381FCF0">
      <w:pPr>
        <w:spacing w:line="240" w:lineRule="auto"/>
        <w:ind w:left="0" w:firstLine="0"/>
        <w:rPr>
          <w:rFonts w:hint="default" w:eastAsiaTheme="minorEastAsia"/>
          <w:lang w:val="en-US" w:eastAsia="zh-CN"/>
        </w:rPr>
      </w:pPr>
    </w:p>
    <w:p w14:paraId="4EA4E133">
      <w:pPr>
        <w:pStyle w:val="7"/>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32"/>
          <w:szCs w:val="32"/>
        </w:rPr>
      </w:pPr>
      <w:bookmarkStart w:id="92" w:name="cffe958c1e154d2eba0430917a8877cf"/>
      <w:r>
        <w:rPr>
          <w:rFonts w:hint="eastAsia" w:ascii="黑体" w:hAnsi="黑体" w:eastAsia="黑体" w:cs="黑体"/>
          <w:b/>
          <w:i w:val="0"/>
          <w:spacing w:val="0"/>
          <w:sz w:val="32"/>
          <w:szCs w:val="32"/>
          <w:lang w:val="en-US" w:eastAsia="zh-CN"/>
        </w:rPr>
        <w:t>9.</w:t>
      </w:r>
      <w:r>
        <w:rPr>
          <w:rFonts w:hint="eastAsia" w:ascii="黑体" w:hAnsi="黑体" w:eastAsia="黑体" w:cs="黑体"/>
          <w:b/>
          <w:i w:val="0"/>
          <w:spacing w:val="0"/>
          <w:sz w:val="32"/>
          <w:szCs w:val="32"/>
        </w:rPr>
        <w:t>水族造景赛事</w:t>
      </w:r>
      <w:bookmarkEnd w:id="92"/>
    </w:p>
    <w:p w14:paraId="0354B31C">
      <w:pPr>
        <w:pStyle w:val="8"/>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8"/>
        </w:rPr>
      </w:pPr>
      <w:bookmarkStart w:id="93" w:name="0637dd96592044a4a3ecf9eaa63ce2ea"/>
      <w:r>
        <w:rPr>
          <w:rFonts w:hint="eastAsia" w:ascii="黑体" w:hAnsi="黑体" w:eastAsia="黑体" w:cs="黑体"/>
          <w:b/>
          <w:i w:val="0"/>
          <w:spacing w:val="0"/>
          <w:sz w:val="28"/>
          <w:szCs w:val="28"/>
        </w:rPr>
        <w:t>9.1 水族造景赛事概述</w:t>
      </w:r>
      <w:bookmarkEnd w:id="93"/>
    </w:p>
    <w:p w14:paraId="270BE66E">
      <w:pPr>
        <w:pStyle w:val="9"/>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4"/>
          <w:szCs w:val="24"/>
          <w:lang w:val="en-US" w:eastAsia="zh-CN"/>
        </w:rPr>
      </w:pPr>
      <w:bookmarkStart w:id="94" w:name="1fa113af92f74111aff1db45869d0e94"/>
      <w:r>
        <w:rPr>
          <w:rFonts w:hint="eastAsia" w:ascii="黑体" w:hAnsi="黑体" w:eastAsia="黑体" w:cs="黑体"/>
          <w:b w:val="0"/>
          <w:i w:val="0"/>
          <w:spacing w:val="0"/>
          <w:sz w:val="24"/>
          <w:szCs w:val="24"/>
        </w:rPr>
        <w:t>9.1.1 赛事的定义与分类</w:t>
      </w:r>
      <w:bookmarkEnd w:id="94"/>
      <w:r>
        <w:rPr>
          <w:rFonts w:hint="eastAsia" w:ascii="黑体" w:hAnsi="黑体" w:eastAsia="黑体" w:cs="黑体"/>
          <w:b w:val="0"/>
          <w:i w:val="0"/>
          <w:spacing w:val="0"/>
          <w:sz w:val="24"/>
          <w:szCs w:val="24"/>
          <w:lang w:val="en-US" w:eastAsia="zh-CN"/>
        </w:rPr>
        <w:tab/>
      </w:r>
    </w:p>
    <w:p w14:paraId="3701C7B6">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4"/>
          <w:lang w:val="en-US" w:eastAsia="zh-CN"/>
        </w:rPr>
      </w:pPr>
      <w:bookmarkStart w:id="95" w:name="89766ac1-8890-4ac6-9fdb-563c30f963f7"/>
      <w:r>
        <w:rPr>
          <w:rFonts w:hint="eastAsia" w:ascii="黑体" w:hAnsi="黑体" w:eastAsia="黑体" w:cs="黑体"/>
          <w:b w:val="0"/>
          <w:i w:val="0"/>
          <w:spacing w:val="0"/>
          <w:sz w:val="24"/>
          <w:szCs w:val="24"/>
        </w:rPr>
        <w:t>9.1.2 大学生参与赛事的意义</w:t>
      </w:r>
      <w:bookmarkEnd w:id="95"/>
      <w:r>
        <w:rPr>
          <w:rFonts w:hint="eastAsia" w:ascii="黑体" w:hAnsi="黑体" w:eastAsia="黑体" w:cs="黑体"/>
          <w:b w:val="0"/>
          <w:i w:val="0"/>
          <w:spacing w:val="0"/>
          <w:sz w:val="24"/>
          <w:szCs w:val="24"/>
          <w:lang w:val="en-US" w:eastAsia="zh-CN"/>
        </w:rPr>
        <w:tab/>
      </w:r>
      <w:r>
        <w:rPr>
          <w:rFonts w:hint="eastAsia" w:ascii="黑体" w:hAnsi="黑体" w:eastAsia="黑体" w:cs="黑体"/>
          <w:b w:val="0"/>
          <w:i w:val="0"/>
          <w:spacing w:val="0"/>
          <w:sz w:val="24"/>
          <w:szCs w:val="24"/>
          <w:lang w:val="en-US" w:eastAsia="zh-CN"/>
        </w:rPr>
        <w:tab/>
      </w:r>
      <w:r>
        <w:rPr>
          <w:rFonts w:hint="eastAsia" w:ascii="黑体" w:hAnsi="黑体" w:eastAsia="黑体" w:cs="黑体"/>
          <w:b w:val="0"/>
          <w:i w:val="0"/>
          <w:spacing w:val="0"/>
          <w:sz w:val="24"/>
          <w:szCs w:val="24"/>
          <w:lang w:val="en-US" w:eastAsia="zh-CN"/>
        </w:rPr>
        <w:tab/>
      </w:r>
    </w:p>
    <w:p w14:paraId="13B8AFCB">
      <w:pPr>
        <w:pStyle w:val="8"/>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8"/>
        </w:rPr>
      </w:pPr>
      <w:bookmarkStart w:id="96" w:name="9992e247e2534fb0a93f627742df66dc"/>
      <w:r>
        <w:rPr>
          <w:rFonts w:hint="eastAsia" w:ascii="黑体" w:hAnsi="黑体" w:eastAsia="黑体" w:cs="黑体"/>
          <w:b/>
          <w:i w:val="0"/>
          <w:spacing w:val="0"/>
          <w:sz w:val="28"/>
          <w:szCs w:val="28"/>
        </w:rPr>
        <w:t>9.2 主流大学生水族造景赛事解析</w:t>
      </w:r>
      <w:bookmarkEnd w:id="96"/>
    </w:p>
    <w:p w14:paraId="51C494BB">
      <w:pPr>
        <w:pStyle w:val="10"/>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4"/>
          <w:szCs w:val="24"/>
          <w:lang w:val="en-US" w:eastAsia="zh-CN"/>
        </w:rPr>
      </w:pPr>
      <w:bookmarkStart w:id="97" w:name="2556bded6aa94ba18774bb1234a48ecb"/>
      <w:r>
        <w:rPr>
          <w:rFonts w:hint="eastAsia" w:ascii="黑体" w:hAnsi="黑体" w:eastAsia="黑体" w:cs="黑体"/>
          <w:b w:val="0"/>
          <w:bCs/>
          <w:i w:val="0"/>
          <w:spacing w:val="0"/>
          <w:sz w:val="24"/>
          <w:szCs w:val="24"/>
        </w:rPr>
        <w:t>9.2.1 国际赛事案例分析</w:t>
      </w:r>
      <w:bookmarkEnd w:id="97"/>
      <w:bookmarkStart w:id="98" w:name="bddd444f-7ad5-4e4a-91ac-446863008355"/>
      <w:r>
        <w:rPr>
          <w:rFonts w:hint="eastAsia" w:hAnsi="黑体" w:cs="黑体"/>
          <w:b w:val="0"/>
          <w:bCs/>
          <w:i w:val="0"/>
          <w:spacing w:val="0"/>
          <w:sz w:val="24"/>
          <w:szCs w:val="24"/>
          <w:lang w:val="en-US" w:eastAsia="zh-CN"/>
        </w:rPr>
        <w:tab/>
      </w:r>
      <w:r>
        <w:rPr>
          <w:rFonts w:hint="eastAsia" w:hAnsi="黑体" w:cs="黑体"/>
          <w:b w:val="0"/>
          <w:bCs/>
          <w:i w:val="0"/>
          <w:spacing w:val="0"/>
          <w:sz w:val="24"/>
          <w:szCs w:val="24"/>
          <w:lang w:val="en-US" w:eastAsia="zh-CN"/>
        </w:rPr>
        <w:tab/>
      </w:r>
      <w:r>
        <w:rPr>
          <w:rFonts w:hint="eastAsia" w:ascii="黑体" w:hAnsi="黑体" w:eastAsia="黑体" w:cs="黑体"/>
          <w:b w:val="0"/>
          <w:i w:val="0"/>
          <w:spacing w:val="0"/>
          <w:sz w:val="24"/>
          <w:szCs w:val="24"/>
        </w:rPr>
        <w:t>
</w:t>
      </w:r>
      <w:r>
        <w:rPr>
          <w:rFonts w:hint="eastAsia" w:hAnsi="黑体" w:cs="黑体"/>
          <w:b w:val="0"/>
          <w:i w:val="0"/>
          <w:spacing w:val="0"/>
          <w:sz w:val="24"/>
          <w:szCs w:val="24"/>
          <w:lang w:val="en-US" w:eastAsia="zh-CN"/>
        </w:rPr>
        <w:tab/>
      </w:r>
    </w:p>
    <w:p w14:paraId="4B876479">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r>
        <w:rPr>
          <w:rFonts w:hint="eastAsia" w:ascii="黑体" w:hAnsi="黑体" w:eastAsia="黑体" w:cs="黑体"/>
          <w:b w:val="0"/>
          <w:i w:val="0"/>
          <w:spacing w:val="0"/>
          <w:sz w:val="24"/>
          <w:szCs w:val="24"/>
        </w:rPr>
        <w:t>9.2.2 国内赛事深度解析</w:t>
      </w:r>
      <w:bookmarkEnd w:id="98"/>
      <w:r>
        <w:rPr>
          <w:rFonts w:hint="eastAsia" w:ascii="黑体" w:hAnsi="黑体" w:eastAsia="黑体" w:cs="黑体"/>
          <w:b w:val="0"/>
          <w:i w:val="0"/>
          <w:spacing w:val="0"/>
          <w:sz w:val="24"/>
          <w:szCs w:val="24"/>
          <w:lang w:val="en-US" w:eastAsia="zh-CN"/>
        </w:rPr>
        <w:tab/>
      </w:r>
    </w:p>
    <w:p w14:paraId="300A11F4">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99" w:name="3b9910e8-dd74-4636-8654-5a0e3873b11c"/>
      <w:r>
        <w:rPr>
          <w:rFonts w:hint="eastAsia" w:ascii="黑体" w:hAnsi="黑体" w:eastAsia="黑体" w:cs="黑体"/>
          <w:b w:val="0"/>
          <w:i w:val="0"/>
          <w:spacing w:val="0"/>
          <w:sz w:val="24"/>
          <w:szCs w:val="24"/>
        </w:rPr>
        <w:t>9.2.3 赛事对比与特点总结</w:t>
      </w:r>
      <w:bookmarkEnd w:id="99"/>
      <w:r>
        <w:rPr>
          <w:rFonts w:hint="eastAsia" w:ascii="黑体" w:hAnsi="黑体" w:eastAsia="黑体" w:cs="黑体"/>
          <w:b w:val="0"/>
          <w:i w:val="0"/>
          <w:spacing w:val="0"/>
          <w:sz w:val="24"/>
          <w:szCs w:val="24"/>
          <w:lang w:val="en-US" w:eastAsia="zh-CN"/>
        </w:rPr>
        <w:tab/>
      </w:r>
    </w:p>
    <w:p w14:paraId="358E473B">
      <w:pPr>
        <w:pStyle w:val="8"/>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8"/>
        </w:rPr>
      </w:pPr>
      <w:bookmarkStart w:id="100" w:name="229640e7efb043a8a0e8d38c5007ea65"/>
      <w:r>
        <w:rPr>
          <w:rFonts w:hint="eastAsia" w:ascii="黑体" w:hAnsi="黑体" w:eastAsia="黑体" w:cs="黑体"/>
          <w:b/>
          <w:i w:val="0"/>
          <w:spacing w:val="0"/>
          <w:sz w:val="28"/>
          <w:szCs w:val="28"/>
        </w:rPr>
        <w:t>9.3 大学生参赛全流程指南</w:t>
      </w:r>
      <w:bookmarkEnd w:id="100"/>
    </w:p>
    <w:p w14:paraId="55311BB4">
      <w:pPr>
        <w:pStyle w:val="10"/>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b w:val="0"/>
          <w:bCs/>
          <w:sz w:val="24"/>
          <w:szCs w:val="24"/>
          <w:lang w:val="en-US" w:eastAsia="zh-CN"/>
        </w:rPr>
      </w:pPr>
      <w:bookmarkStart w:id="101" w:name="c8a767f323124dbfb39579fab709ae88"/>
      <w:r>
        <w:rPr>
          <w:rFonts w:hint="eastAsia" w:ascii="黑体" w:hAnsi="黑体" w:eastAsia="黑体" w:cs="黑体"/>
          <w:b w:val="0"/>
          <w:bCs/>
          <w:i w:val="0"/>
          <w:spacing w:val="0"/>
          <w:sz w:val="24"/>
          <w:szCs w:val="24"/>
        </w:rPr>
        <w:t>9.3.1 赛前准备</w:t>
      </w:r>
      <w:bookmarkEnd w:id="101"/>
      <w:r>
        <w:rPr>
          <w:rFonts w:hint="eastAsia" w:hAnsi="黑体" w:cs="黑体"/>
          <w:b w:val="0"/>
          <w:bCs/>
          <w:i w:val="0"/>
          <w:spacing w:val="0"/>
          <w:sz w:val="24"/>
          <w:szCs w:val="24"/>
          <w:lang w:val="en-US" w:eastAsia="zh-CN"/>
        </w:rPr>
        <w:tab/>
      </w:r>
    </w:p>
    <w:p w14:paraId="15C3AD8F">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102" w:name="a02ca575-322a-4003-848a-189bb6b0f7b5"/>
      <w:r>
        <w:rPr>
          <w:rFonts w:hint="eastAsia" w:ascii="黑体" w:hAnsi="黑体" w:eastAsia="黑体" w:cs="黑体"/>
          <w:b w:val="0"/>
          <w:i w:val="0"/>
          <w:spacing w:val="0"/>
          <w:sz w:val="24"/>
          <w:szCs w:val="24"/>
        </w:rPr>
        <w:t>9.3.2 赛中实施</w:t>
      </w:r>
      <w:bookmarkEnd w:id="102"/>
      <w:r>
        <w:rPr>
          <w:rFonts w:hint="eastAsia" w:ascii="黑体" w:hAnsi="黑体" w:eastAsia="黑体" w:cs="黑体"/>
          <w:b w:val="0"/>
          <w:i w:val="0"/>
          <w:spacing w:val="0"/>
          <w:sz w:val="24"/>
          <w:szCs w:val="24"/>
          <w:lang w:val="en-US" w:eastAsia="zh-CN"/>
        </w:rPr>
        <w:tab/>
      </w:r>
    </w:p>
    <w:p w14:paraId="44F09D1F">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103" w:name="d862d8d9-cc12-413d-ba30-3f299fee54bf"/>
      <w:r>
        <w:rPr>
          <w:rFonts w:hint="eastAsia" w:ascii="黑体" w:hAnsi="黑体" w:eastAsia="黑体" w:cs="黑体"/>
          <w:b w:val="0"/>
          <w:i w:val="0"/>
          <w:spacing w:val="0"/>
          <w:sz w:val="24"/>
          <w:szCs w:val="24"/>
        </w:rPr>
        <w:t>9.3.3 赛后总结与转化</w:t>
      </w:r>
      <w:bookmarkEnd w:id="103"/>
      <w:r>
        <w:rPr>
          <w:rFonts w:hint="eastAsia" w:ascii="黑体" w:hAnsi="黑体" w:eastAsia="黑体" w:cs="黑体"/>
          <w:b w:val="0"/>
          <w:i w:val="0"/>
          <w:spacing w:val="0"/>
          <w:sz w:val="24"/>
          <w:szCs w:val="24"/>
          <w:lang w:val="en-US" w:eastAsia="zh-CN"/>
        </w:rPr>
        <w:tab/>
      </w:r>
    </w:p>
    <w:p w14:paraId="6B6FECAE">
      <w:pPr>
        <w:pStyle w:val="8"/>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8"/>
        </w:rPr>
      </w:pPr>
      <w:bookmarkStart w:id="104" w:name="bc2df46f40774294b97a588d856fc280"/>
      <w:r>
        <w:rPr>
          <w:rFonts w:hint="eastAsia" w:ascii="黑体" w:hAnsi="黑体" w:eastAsia="黑体" w:cs="黑体"/>
          <w:b/>
          <w:i w:val="0"/>
          <w:spacing w:val="0"/>
          <w:sz w:val="28"/>
          <w:szCs w:val="28"/>
        </w:rPr>
        <w:t>9.4 获奖作品解析与成功要素</w:t>
      </w:r>
      <w:bookmarkEnd w:id="104"/>
    </w:p>
    <w:p w14:paraId="31F24AE5">
      <w:pPr>
        <w:pStyle w:val="10"/>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b w:val="0"/>
          <w:bCs/>
          <w:sz w:val="24"/>
          <w:szCs w:val="24"/>
          <w:lang w:val="en-US" w:eastAsia="zh-CN"/>
        </w:rPr>
      </w:pPr>
      <w:bookmarkStart w:id="105" w:name="1caad5b11c6c4711a2619676b71cf256"/>
      <w:r>
        <w:rPr>
          <w:rFonts w:hint="eastAsia" w:ascii="黑体" w:hAnsi="黑体" w:eastAsia="黑体" w:cs="黑体"/>
          <w:b w:val="0"/>
          <w:bCs/>
          <w:i w:val="0"/>
          <w:spacing w:val="0"/>
          <w:sz w:val="24"/>
          <w:szCs w:val="24"/>
        </w:rPr>
        <w:t>9.4.1 经典获奖案例研究</w:t>
      </w:r>
      <w:bookmarkEnd w:id="105"/>
      <w:r>
        <w:rPr>
          <w:rFonts w:hint="eastAsia" w:hAnsi="黑体" w:cs="黑体"/>
          <w:b w:val="0"/>
          <w:bCs/>
          <w:i w:val="0"/>
          <w:spacing w:val="0"/>
          <w:sz w:val="24"/>
          <w:szCs w:val="24"/>
          <w:lang w:val="en-US" w:eastAsia="zh-CN"/>
        </w:rPr>
        <w:tab/>
      </w:r>
    </w:p>
    <w:p w14:paraId="4DE80A2C">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106" w:name="c8a2d699-978f-43cc-a511-dbf82862c886"/>
      <w:r>
        <w:rPr>
          <w:rFonts w:hint="eastAsia" w:ascii="黑体" w:hAnsi="黑体" w:eastAsia="黑体" w:cs="黑体"/>
          <w:b w:val="0"/>
          <w:i w:val="0"/>
          <w:spacing w:val="0"/>
          <w:sz w:val="24"/>
          <w:szCs w:val="24"/>
        </w:rPr>
        <w:t>9.4.2 成功作品的共性特征</w:t>
      </w:r>
      <w:bookmarkEnd w:id="106"/>
      <w:r>
        <w:rPr>
          <w:rFonts w:hint="eastAsia" w:ascii="黑体" w:hAnsi="黑体" w:eastAsia="黑体" w:cs="黑体"/>
          <w:b w:val="0"/>
          <w:i w:val="0"/>
          <w:spacing w:val="0"/>
          <w:sz w:val="24"/>
          <w:szCs w:val="24"/>
          <w:lang w:val="en-US" w:eastAsia="zh-CN"/>
        </w:rPr>
        <w:tab/>
      </w:r>
    </w:p>
    <w:p w14:paraId="7DC7324B">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107" w:name="fefd8689-9c10-456c-861e-5c3141d75213"/>
      <w:r>
        <w:rPr>
          <w:rFonts w:hint="eastAsia" w:ascii="黑体" w:hAnsi="黑体" w:eastAsia="黑体" w:cs="黑体"/>
          <w:b w:val="0"/>
          <w:i w:val="0"/>
          <w:spacing w:val="0"/>
          <w:sz w:val="24"/>
          <w:szCs w:val="24"/>
        </w:rPr>
        <w:t>9.4.3 失败案例反思与避坑指南</w:t>
      </w:r>
      <w:bookmarkEnd w:id="107"/>
      <w:r>
        <w:rPr>
          <w:rFonts w:hint="eastAsia" w:ascii="黑体" w:hAnsi="黑体" w:eastAsia="黑体" w:cs="黑体"/>
          <w:b w:val="0"/>
          <w:i w:val="0"/>
          <w:spacing w:val="0"/>
          <w:sz w:val="24"/>
          <w:szCs w:val="24"/>
          <w:lang w:val="en-US" w:eastAsia="zh-CN"/>
        </w:rPr>
        <w:tab/>
      </w:r>
    </w:p>
    <w:p w14:paraId="16018FBB">
      <w:pPr>
        <w:pStyle w:val="8"/>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8"/>
        </w:rPr>
      </w:pPr>
      <w:bookmarkStart w:id="108" w:name="69f976d9b4d34b32917e087a17534741"/>
      <w:r>
        <w:rPr>
          <w:rFonts w:hint="eastAsia" w:ascii="黑体" w:hAnsi="黑体" w:eastAsia="黑体" w:cs="黑体"/>
          <w:b/>
          <w:i w:val="0"/>
          <w:spacing w:val="0"/>
          <w:sz w:val="28"/>
          <w:szCs w:val="28"/>
        </w:rPr>
        <w:t>9.5 赛事对大学生的多维影响</w:t>
      </w:r>
      <w:bookmarkEnd w:id="108"/>
    </w:p>
    <w:p w14:paraId="7B4980C1">
      <w:pPr>
        <w:pStyle w:val="10"/>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b w:val="0"/>
          <w:bCs/>
          <w:sz w:val="24"/>
          <w:szCs w:val="24"/>
          <w:lang w:val="en-US" w:eastAsia="zh-CN"/>
        </w:rPr>
      </w:pPr>
      <w:bookmarkStart w:id="109" w:name="3e97ec17a6234095a90e1c9996296709"/>
      <w:r>
        <w:rPr>
          <w:rFonts w:hint="eastAsia" w:ascii="黑体" w:hAnsi="黑体" w:eastAsia="黑体" w:cs="黑体"/>
          <w:b w:val="0"/>
          <w:bCs/>
          <w:i w:val="0"/>
          <w:spacing w:val="0"/>
          <w:sz w:val="24"/>
          <w:szCs w:val="24"/>
        </w:rPr>
        <w:t>9.5.1 个人能力提升</w:t>
      </w:r>
      <w:bookmarkEnd w:id="109"/>
      <w:r>
        <w:rPr>
          <w:rFonts w:hint="eastAsia" w:hAnsi="黑体" w:cs="黑体"/>
          <w:b w:val="0"/>
          <w:bCs/>
          <w:i w:val="0"/>
          <w:spacing w:val="0"/>
          <w:sz w:val="24"/>
          <w:szCs w:val="24"/>
          <w:lang w:val="en-US" w:eastAsia="zh-CN"/>
        </w:rPr>
        <w:tab/>
      </w:r>
    </w:p>
    <w:p w14:paraId="069C581F">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110" w:name="a12de0f4-03b0-4130-9e52-115de2a6d938"/>
      <w:r>
        <w:rPr>
          <w:rFonts w:hint="eastAsia" w:ascii="黑体" w:hAnsi="黑体" w:eastAsia="黑体" w:cs="黑体"/>
          <w:b w:val="0"/>
          <w:i w:val="0"/>
          <w:spacing w:val="0"/>
          <w:sz w:val="24"/>
          <w:szCs w:val="24"/>
        </w:rPr>
        <w:t>9.5.2 职业发展助力</w:t>
      </w:r>
      <w:bookmarkEnd w:id="110"/>
      <w:r>
        <w:rPr>
          <w:rFonts w:hint="eastAsia" w:ascii="黑体" w:hAnsi="黑体" w:eastAsia="黑体" w:cs="黑体"/>
          <w:b w:val="0"/>
          <w:i w:val="0"/>
          <w:spacing w:val="0"/>
          <w:sz w:val="24"/>
          <w:szCs w:val="24"/>
          <w:lang w:val="en-US" w:eastAsia="zh-CN"/>
        </w:rPr>
        <w:tab/>
      </w:r>
    </w:p>
    <w:p w14:paraId="2B1C55C8">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Chars="0" w:right="0" w:rightChars="0"/>
        <w:jc w:val="both"/>
        <w:textAlignment w:val="auto"/>
        <w:rPr>
          <w:rFonts w:hint="eastAsia" w:ascii="黑体" w:hAnsi="黑体" w:eastAsia="黑体" w:cs="黑体"/>
          <w:sz w:val="24"/>
          <w:szCs w:val="24"/>
          <w:lang w:val="en-US" w:eastAsia="zh-CN"/>
        </w:rPr>
      </w:pPr>
      <w:bookmarkStart w:id="111" w:name="c414b71e-6fd1-43d9-a8b3-a3f5f1e5bbb8"/>
      <w:r>
        <w:rPr>
          <w:rFonts w:hint="eastAsia" w:ascii="黑体" w:hAnsi="黑体" w:eastAsia="黑体" w:cs="黑体"/>
          <w:b w:val="0"/>
          <w:i w:val="0"/>
          <w:spacing w:val="0"/>
          <w:sz w:val="24"/>
          <w:szCs w:val="24"/>
        </w:rPr>
        <w:t>9.5.3 教育价值与学科交叉</w:t>
      </w:r>
      <w:bookmarkEnd w:id="111"/>
      <w:r>
        <w:rPr>
          <w:rFonts w:hint="eastAsia" w:ascii="黑体" w:hAnsi="黑体" w:eastAsia="黑体" w:cs="黑体"/>
          <w:b w:val="0"/>
          <w:i w:val="0"/>
          <w:spacing w:val="0"/>
          <w:sz w:val="24"/>
          <w:szCs w:val="24"/>
          <w:lang w:val="en-US" w:eastAsia="zh-CN"/>
        </w:rPr>
        <w:tab/>
      </w:r>
    </w:p>
    <w:p w14:paraId="58B661D6">
      <w:pPr>
        <w:pStyle w:val="8"/>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sz w:val="28"/>
          <w:szCs w:val="28"/>
        </w:rPr>
      </w:pPr>
      <w:bookmarkStart w:id="112" w:name="bfef271f9c544a7895df9cce35c500fd"/>
      <w:r>
        <w:rPr>
          <w:rFonts w:hint="eastAsia" w:ascii="黑体" w:hAnsi="黑体" w:eastAsia="黑体" w:cs="黑体"/>
          <w:b/>
          <w:i w:val="0"/>
          <w:spacing w:val="0"/>
          <w:sz w:val="28"/>
          <w:szCs w:val="28"/>
        </w:rPr>
        <w:t>9.6 未来展望与建议</w:t>
      </w:r>
      <w:bookmarkEnd w:id="112"/>
    </w:p>
    <w:p w14:paraId="17BBC30F">
      <w:pPr>
        <w:pStyle w:val="10"/>
        <w:keepNext w:val="0"/>
        <w:keepLines w:val="0"/>
        <w:pageBreakBefore w:val="0"/>
        <w:widowControl/>
        <w:tabs>
          <w:tab w:val="left" w:leader="dot" w:pos="8400"/>
        </w:tabs>
        <w:kinsoku/>
        <w:wordWrap/>
        <w:overflowPunct/>
        <w:topLinePunct w:val="0"/>
        <w:autoSpaceDE/>
        <w:autoSpaceDN/>
        <w:bidi w:val="0"/>
        <w:adjustRightInd/>
        <w:snapToGrid/>
        <w:spacing w:before="0" w:after="0" w:line="360" w:lineRule="auto"/>
        <w:ind w:left="0" w:right="0" w:firstLine="0"/>
        <w:jc w:val="both"/>
        <w:textAlignment w:val="auto"/>
        <w:rPr>
          <w:rFonts w:hint="eastAsia" w:ascii="黑体" w:hAnsi="黑体" w:eastAsia="黑体" w:cs="黑体"/>
          <w:b w:val="0"/>
          <w:bCs/>
          <w:sz w:val="24"/>
          <w:szCs w:val="24"/>
          <w:lang w:val="en-US" w:eastAsia="zh-CN"/>
        </w:rPr>
      </w:pPr>
      <w:bookmarkStart w:id="113" w:name="dcba65dc418140e8aab8a116fad757e0"/>
      <w:r>
        <w:rPr>
          <w:rFonts w:hint="eastAsia" w:ascii="黑体" w:hAnsi="黑体" w:eastAsia="黑体" w:cs="黑体"/>
          <w:b w:val="0"/>
          <w:bCs/>
          <w:i w:val="0"/>
          <w:spacing w:val="0"/>
          <w:sz w:val="24"/>
          <w:szCs w:val="24"/>
        </w:rPr>
        <w:t>9.6.1 赛事发展趋势</w:t>
      </w:r>
      <w:bookmarkEnd w:id="113"/>
      <w:r>
        <w:rPr>
          <w:rFonts w:hint="eastAsia" w:hAnsi="黑体" w:cs="黑体"/>
          <w:b w:val="0"/>
          <w:bCs/>
          <w:i w:val="0"/>
          <w:spacing w:val="0"/>
          <w:sz w:val="24"/>
          <w:szCs w:val="24"/>
          <w:lang w:val="en-US" w:eastAsia="zh-CN"/>
        </w:rPr>
        <w:tab/>
      </w:r>
    </w:p>
    <w:p w14:paraId="04D1B52F">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4"/>
          <w:lang w:val="en-US" w:eastAsia="zh-CN"/>
        </w:rPr>
      </w:pPr>
      <w:bookmarkStart w:id="114" w:name="6b77f3f2-af8e-485b-80f4-894c95a19a88"/>
      <w:r>
        <w:rPr>
          <w:rFonts w:hint="eastAsia" w:ascii="黑体" w:hAnsi="黑体" w:eastAsia="黑体" w:cs="黑体"/>
          <w:b w:val="0"/>
          <w:i w:val="0"/>
          <w:spacing w:val="0"/>
          <w:sz w:val="24"/>
          <w:szCs w:val="24"/>
        </w:rPr>
        <w:t>9.6.2 对高校与学生的建议</w:t>
      </w:r>
      <w:bookmarkEnd w:id="114"/>
      <w:r>
        <w:rPr>
          <w:rFonts w:hint="eastAsia" w:ascii="黑体" w:hAnsi="黑体" w:eastAsia="黑体" w:cs="黑体"/>
          <w:b w:val="0"/>
          <w:i w:val="0"/>
          <w:spacing w:val="0"/>
          <w:sz w:val="24"/>
          <w:szCs w:val="24"/>
          <w:lang w:val="en-US" w:eastAsia="zh-CN"/>
        </w:rPr>
        <w:tab/>
      </w:r>
    </w:p>
    <w:p w14:paraId="7F188097">
      <w:pPr>
        <w:pStyle w:val="9"/>
        <w:keepNext w:val="0"/>
        <w:keepLines w:val="0"/>
        <w:pageBreakBefore w:val="0"/>
        <w:widowControl/>
        <w:numPr>
          <w:ilvl w:val="0"/>
          <w:numId w:val="0"/>
        </w:numPr>
        <w:tabs>
          <w:tab w:val="left" w:leader="dot" w:pos="840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eastAsia" w:ascii="黑体" w:hAnsi="黑体" w:eastAsia="黑体" w:cs="黑体"/>
          <w:sz w:val="24"/>
          <w:szCs w:val="24"/>
          <w:lang w:val="en-US" w:eastAsia="zh-CN"/>
        </w:rPr>
      </w:pPr>
      <w:bookmarkStart w:id="115" w:name="8897687c-dbcf-48bb-94fc-012efc8e3dcf"/>
      <w:r>
        <w:rPr>
          <w:rFonts w:hint="eastAsia" w:ascii="黑体" w:hAnsi="黑体" w:eastAsia="黑体" w:cs="黑体"/>
          <w:b w:val="0"/>
          <w:i w:val="0"/>
          <w:spacing w:val="0"/>
          <w:sz w:val="24"/>
          <w:szCs w:val="24"/>
        </w:rPr>
        <w:t>9.6.3 行业支持方向</w:t>
      </w:r>
      <w:bookmarkEnd w:id="115"/>
      <w:r>
        <w:rPr>
          <w:rFonts w:hint="eastAsia" w:ascii="黑体" w:hAnsi="黑体" w:eastAsia="黑体" w:cs="黑体"/>
          <w:b w:val="0"/>
          <w:i w:val="0"/>
          <w:spacing w:val="0"/>
          <w:sz w:val="24"/>
          <w:szCs w:val="24"/>
          <w:lang w:val="en-US" w:eastAsia="zh-CN"/>
        </w:rPr>
        <w:tab/>
      </w:r>
    </w:p>
    <w:p w14:paraId="064AEC8B">
      <w:pPr>
        <w:spacing w:line="240" w:lineRule="auto"/>
        <w:ind w:left="0" w:firstLine="0"/>
        <w:rPr>
          <w:rFonts w:hint="default" w:eastAsiaTheme="minorEastAsia"/>
          <w:lang w:val="en-US" w:eastAsia="zh-CN"/>
        </w:rPr>
      </w:pPr>
    </w:p>
    <w:p w14:paraId="56BC75EA">
      <w:pPr>
        <w:pageBreakBefore w:val="0"/>
        <w:wordWrap/>
        <w:spacing w:before="160" w:after="0"/>
        <w:ind w:left="0" w:right="0"/>
        <w:jc w:val="left"/>
        <w:textAlignment w:val="auto"/>
        <w:rPr>
          <w:sz w:val="36"/>
        </w:rPr>
      </w:pPr>
      <w:r>
        <w:rPr>
          <w:rFonts w:ascii="宋体" w:hAnsi="宋体" w:eastAsia="宋体" w:cs="宋体"/>
          <w:b/>
          <w:i w:val="0"/>
          <w:spacing w:val="0"/>
          <w:sz w:val="36"/>
        </w:rPr>
        <w:t>1. 水族造景概述</w:t>
      </w:r>
    </w:p>
    <w:p w14:paraId="207934A3">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水族造景是一种将水族箱作为载体，通过合理搭配水草、沉木、石材等自然素材，构建兼具视觉美感与自循环生态系统的艺术创作活动。它融合了园艺、生物学、微生物学、光学工程、环境科学等多学科知识，</w:t>
      </w:r>
      <w:r>
        <w:rPr>
          <w:rFonts w:ascii="宋体" w:hAnsi="宋体" w:eastAsia="宋体" w:cs="宋体"/>
          <w:b w:val="0"/>
          <w:bCs/>
          <w:i w:val="0"/>
          <w:spacing w:val="0"/>
          <w:sz w:val="24"/>
        </w:rPr>
        <w:t>通过精心设计的三维空间布局，模拟自然水域环境，实现美学价值与生态价值的有机统一</w:t>
      </w:r>
      <w:r>
        <w:rPr>
          <w:rFonts w:ascii="宋体" w:hAnsi="宋体" w:eastAsia="宋体" w:cs="宋体"/>
          <w:b w:val="0"/>
          <w:i w:val="0"/>
          <w:spacing w:val="0"/>
          <w:sz w:val="24"/>
        </w:rPr>
        <w:t>。随着技术进步和市场需求变化，水族造景已从单纯的观赏娱乐活动发展为涵盖家居装饰、商业空间设计、教育科普等多领域的专业行业。</w:t>
      </w:r>
    </w:p>
    <w:p w14:paraId="47704D17">
      <w:pPr>
        <w:pageBreakBefore w:val="0"/>
        <w:wordWrap/>
        <w:spacing w:before="160" w:after="0"/>
        <w:ind w:left="0" w:right="0"/>
        <w:jc w:val="left"/>
        <w:textAlignment w:val="auto"/>
        <w:rPr>
          <w:sz w:val="28"/>
        </w:rPr>
      </w:pPr>
      <w:r>
        <w:rPr>
          <w:rFonts w:ascii="宋体" w:hAnsi="宋体" w:eastAsia="宋体" w:cs="宋体"/>
          <w:b/>
          <w:i w:val="0"/>
          <w:spacing w:val="0"/>
          <w:sz w:val="28"/>
        </w:rPr>
        <w:t>1.1 水族造景的定义与分类</w:t>
      </w:r>
    </w:p>
    <w:p w14:paraId="5F9B7F36">
      <w:pPr>
        <w:pageBreakBefore w:val="0"/>
        <w:wordWrap/>
        <w:spacing w:before="160" w:after="0"/>
        <w:ind w:left="0" w:right="0"/>
        <w:jc w:val="left"/>
        <w:textAlignment w:val="auto"/>
        <w:rPr>
          <w:sz w:val="24"/>
        </w:rPr>
      </w:pPr>
      <w:r>
        <w:rPr>
          <w:rFonts w:ascii="宋体" w:hAnsi="宋体" w:eastAsia="宋体" w:cs="宋体"/>
          <w:b/>
          <w:i w:val="0"/>
          <w:spacing w:val="0"/>
          <w:sz w:val="24"/>
        </w:rPr>
        <w:t>1.1.1 水族造景的概念</w:t>
      </w:r>
    </w:p>
    <w:p w14:paraId="31372E3E">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水族造景（Aquascaping）一词源于英文，由"aquatic"（水生的）和"scaping"（塑造景观）组成，指在水族箱中通过艺术化手法构建自然水域景观的活动。</w:t>
      </w:r>
      <w:r>
        <w:rPr>
          <w:rFonts w:ascii="宋体" w:hAnsi="宋体" w:eastAsia="宋体" w:cs="宋体"/>
          <w:b/>
          <w:i w:val="0"/>
          <w:spacing w:val="0"/>
          <w:sz w:val="24"/>
        </w:rPr>
        <w:t>现代水族造景的核心在于"模拟自然、创造艺术、维持生态"三位一体的实现</w:t>
      </w:r>
      <w:r>
        <w:rPr>
          <w:rFonts w:ascii="宋体" w:hAnsi="宋体" w:eastAsia="宋体" w:cs="宋体"/>
          <w:b w:val="0"/>
          <w:i w:val="0"/>
          <w:spacing w:val="0"/>
          <w:sz w:val="24"/>
        </w:rPr>
        <w:t>，具体表现为：</w:t>
      </w:r>
    </w:p>
    <w:p w14:paraId="4428394D">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自然模拟</w:t>
      </w:r>
      <w:r>
        <w:rPr>
          <w:rFonts w:ascii="宋体" w:hAnsi="宋体" w:eastAsia="宋体" w:cs="宋体"/>
          <w:b w:val="0"/>
          <w:i w:val="0"/>
          <w:spacing w:val="0"/>
          <w:sz w:val="24"/>
        </w:rPr>
        <w:t>：通过选择与搭配适合的水草、沉木、石材等素材，再现特定自然环境（如亚马逊雨林、东南亚溪流）的生态特征和视觉效果。</w:t>
      </w:r>
    </w:p>
    <w:p w14:paraId="0E892834">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艺术创作</w:t>
      </w:r>
      <w:r>
        <w:rPr>
          <w:rFonts w:ascii="宋体" w:hAnsi="宋体" w:eastAsia="宋体" w:cs="宋体"/>
          <w:b w:val="0"/>
          <w:i w:val="0"/>
          <w:spacing w:val="0"/>
          <w:sz w:val="24"/>
        </w:rPr>
        <w:t>：运用构图学、色彩学等艺术原理，在有限的水族箱空间内创造具有层次感、透视感和视觉冲击力的水下景观作品。</w:t>
      </w:r>
    </w:p>
    <w:p w14:paraId="450F5BA3">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生态维持</w:t>
      </w:r>
      <w:r>
        <w:rPr>
          <w:rFonts w:ascii="宋体" w:hAnsi="宋体" w:eastAsia="宋体" w:cs="宋体"/>
          <w:b w:val="0"/>
          <w:i w:val="0"/>
          <w:spacing w:val="0"/>
          <w:sz w:val="24"/>
        </w:rPr>
        <w:t>：建立稳定的水生生态系统，通过水草光合作用、硝化细菌分解、微生物活动等自然过程，实现水质的自循环净化。</w:t>
      </w:r>
    </w:p>
    <w:p w14:paraId="6151147F">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水族造景与传统水族箱的主要区别在于其"设计感"和"生态平衡"。传统水族箱以观赏生物为主，造景为辅；而现代水族造景则强调景观本身的美学价值和生态功能，生物往往只是景观的点缀或参与者。</w:t>
      </w:r>
    </w:p>
    <w:p w14:paraId="27A7D0C0">
      <w:pPr>
        <w:pageBreakBefore w:val="0"/>
        <w:wordWrap/>
        <w:spacing w:before="160" w:after="0"/>
        <w:ind w:left="0" w:right="0"/>
        <w:jc w:val="left"/>
        <w:textAlignment w:val="auto"/>
        <w:rPr>
          <w:sz w:val="24"/>
        </w:rPr>
      </w:pPr>
      <w:r>
        <w:rPr>
          <w:rFonts w:ascii="宋体" w:hAnsi="宋体" w:eastAsia="宋体" w:cs="宋体"/>
          <w:b/>
          <w:i w:val="0"/>
          <w:spacing w:val="0"/>
          <w:sz w:val="24"/>
        </w:rPr>
        <w:t>1.1.2 主要风格分类</w:t>
      </w:r>
    </w:p>
    <w:p w14:paraId="0BAD3AAF">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水族造景根据设计理念、布局方法和视觉效果的不同，形成了多种风格流派，主要可分为：</w:t>
      </w:r>
    </w:p>
    <w:p w14:paraId="41AE2E52">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1. 自然风格（Nature Style）</w:t>
      </w:r>
    </w:p>
    <w:p w14:paraId="7F95C457">
      <w:pPr>
        <w:pageBreakBefore w:val="0"/>
        <w:wordWrap/>
        <w:spacing w:before="160" w:after="0"/>
        <w:ind w:left="0" w:right="0"/>
        <w:jc w:val="left"/>
        <w:textAlignment w:val="auto"/>
        <w:rPr>
          <w:sz w:val="24"/>
        </w:rPr>
      </w:pPr>
      <w:r>
        <w:rPr>
          <w:rFonts w:ascii="宋体" w:hAnsi="宋体" w:eastAsia="宋体" w:cs="宋体"/>
          <w:b w:val="0"/>
          <w:i w:val="0"/>
          <w:spacing w:val="0"/>
          <w:sz w:val="24"/>
        </w:rPr>
        <w:t>自然风格以模拟自然水体环境为核心理念，追求自然、和谐的视觉效果。其特点是：</w:t>
      </w:r>
    </w:p>
    <w:p w14:paraId="62AB4D3D">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布局</w:t>
      </w:r>
      <w:r>
        <w:rPr>
          <w:rFonts w:ascii="宋体" w:hAnsi="宋体" w:eastAsia="宋体" w:cs="宋体"/>
          <w:b w:val="0"/>
          <w:i w:val="0"/>
          <w:spacing w:val="0"/>
          <w:sz w:val="24"/>
        </w:rPr>
        <w:t>：采用非对称构图，强调自然感和野趣，避免人工痕迹明显的对称设计</w:t>
      </w:r>
    </w:p>
    <w:p w14:paraId="2250BB9A">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素材</w:t>
      </w:r>
      <w:r>
        <w:rPr>
          <w:rFonts w:ascii="宋体" w:hAnsi="宋体" w:eastAsia="宋体" w:cs="宋体"/>
          <w:b w:val="0"/>
          <w:i w:val="0"/>
          <w:spacing w:val="0"/>
          <w:sz w:val="24"/>
        </w:rPr>
        <w:t>：以天然石材、沉木为主，如溪石、布兰奇木、龙王石等</w:t>
      </w:r>
    </w:p>
    <w:p w14:paraId="34BD1D02">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色彩</w:t>
      </w:r>
      <w:r>
        <w:rPr>
          <w:rFonts w:ascii="宋体" w:hAnsi="宋体" w:eastAsia="宋体" w:cs="宋体"/>
          <w:b w:val="0"/>
          <w:i w:val="0"/>
          <w:spacing w:val="0"/>
          <w:sz w:val="24"/>
        </w:rPr>
        <w:t>：以自然色调为主，如绿色、棕色等，避免鲜艳夺目的人工色彩</w:t>
      </w:r>
    </w:p>
    <w:p w14:paraId="6D806F29">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代表</w:t>
      </w:r>
      <w:r>
        <w:rPr>
          <w:rFonts w:ascii="宋体" w:hAnsi="宋体" w:eastAsia="宋体" w:cs="宋体"/>
          <w:b w:val="0"/>
          <w:i w:val="0"/>
          <w:spacing w:val="0"/>
          <w:sz w:val="24"/>
        </w:rPr>
        <w:t>：日本ADA倡导的"自然水族"（Nature Aquarium）是该风格的典型代表</w:t>
      </w:r>
    </w:p>
    <w:p w14:paraId="105088B0">
      <w:pPr>
        <w:pageBreakBefore w:val="0"/>
        <w:wordWrap/>
        <w:spacing w:before="160" w:after="0" w:line="360" w:lineRule="auto"/>
        <w:ind w:left="0" w:right="0"/>
        <w:jc w:val="left"/>
        <w:textAlignment w:val="auto"/>
        <w:rPr>
          <w:sz w:val="24"/>
        </w:rPr>
      </w:pPr>
      <w:r>
        <w:rPr>
          <w:rFonts w:ascii="宋体" w:hAnsi="宋体" w:eastAsia="宋体" w:cs="宋体"/>
          <w:b w:val="0"/>
          <w:i w:val="0"/>
          <w:spacing w:val="0"/>
          <w:sz w:val="24"/>
        </w:rPr>
        <w:t>自然风格注重生物与环境的和谐共存，生物选择通常与模拟环境相匹配，如亚马逊流域的鱼类搭配相应的水草和底床材料。</w:t>
      </w:r>
    </w:p>
    <w:p w14:paraId="5FC3014C">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2. 荷兰式（Dutch Style）</w:t>
      </w:r>
    </w:p>
    <w:p w14:paraId="65A779EB">
      <w:pPr>
        <w:pageBreakBefore w:val="0"/>
        <w:wordWrap/>
        <w:spacing w:before="160" w:after="0"/>
        <w:ind w:left="0" w:right="0"/>
        <w:jc w:val="left"/>
        <w:textAlignment w:val="auto"/>
        <w:rPr>
          <w:sz w:val="24"/>
        </w:rPr>
      </w:pPr>
      <w:r>
        <w:rPr>
          <w:rFonts w:ascii="宋体" w:hAnsi="宋体" w:eastAsia="宋体" w:cs="宋体"/>
          <w:b w:val="0"/>
          <w:i w:val="0"/>
          <w:spacing w:val="0"/>
          <w:sz w:val="24"/>
        </w:rPr>
        <w:t>荷兰式造景源于1950年代的荷兰，是水族造景最早的系统化风格之一，具有鲜明的特点：</w:t>
      </w:r>
    </w:p>
    <w:p w14:paraId="5FF755D9">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布局</w:t>
      </w:r>
      <w:r>
        <w:rPr>
          <w:rFonts w:ascii="宋体" w:hAnsi="宋体" w:eastAsia="宋体" w:cs="宋体"/>
          <w:b w:val="0"/>
          <w:i w:val="0"/>
          <w:spacing w:val="0"/>
          <w:sz w:val="24"/>
        </w:rPr>
        <w:t>：采用"阶梯式"布局，即通过在缸底铺设丙烯板或倾斜底砂，形成从前景到后景的阶梯式种植区，便于分区管理</w:t>
      </w:r>
    </w:p>
    <w:p w14:paraId="3D7A51AF">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构图</w:t>
      </w:r>
      <w:r>
        <w:rPr>
          <w:rFonts w:ascii="宋体" w:hAnsi="宋体" w:eastAsia="宋体" w:cs="宋体"/>
          <w:b w:val="0"/>
          <w:i w:val="0"/>
          <w:spacing w:val="0"/>
          <w:sz w:val="24"/>
        </w:rPr>
        <w:t>：严格遵循黄金分割比例（0.618分配法），追求层次分明、立体感强的效果</w:t>
      </w:r>
    </w:p>
    <w:p w14:paraId="3A807FDB">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水草</w:t>
      </w:r>
      <w:r>
        <w:rPr>
          <w:rFonts w:ascii="宋体" w:hAnsi="宋体" w:eastAsia="宋体" w:cs="宋体"/>
          <w:b w:val="0"/>
          <w:i w:val="0"/>
          <w:spacing w:val="0"/>
          <w:sz w:val="24"/>
        </w:rPr>
        <w:t>：水草密度大，品种多样，色彩搭配考究，形成"水中花坛"效果</w:t>
      </w:r>
    </w:p>
    <w:p w14:paraId="547C5D0D">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生物</w:t>
      </w:r>
      <w:r>
        <w:rPr>
          <w:rFonts w:ascii="宋体" w:hAnsi="宋体" w:eastAsia="宋体" w:cs="宋体"/>
          <w:b w:val="0"/>
          <w:i w:val="0"/>
          <w:spacing w:val="0"/>
          <w:sz w:val="24"/>
        </w:rPr>
        <w:t>：通常只饲养少量1-2种鱼，强调水草景观为主，鱼为点缀</w:t>
      </w:r>
    </w:p>
    <w:p w14:paraId="5E5AF3A1">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代表</w:t>
      </w:r>
      <w:r>
        <w:rPr>
          <w:rFonts w:ascii="宋体" w:hAnsi="宋体" w:eastAsia="宋体" w:cs="宋体"/>
          <w:b w:val="0"/>
          <w:i w:val="0"/>
          <w:spacing w:val="0"/>
          <w:sz w:val="24"/>
        </w:rPr>
        <w:t>：以"莱登街道"（Leden Street）为代表的荷兰式水草缸，是该风格的典型范例</w:t>
      </w:r>
    </w:p>
    <w:p w14:paraId="570A426F">
      <w:pPr>
        <w:pageBreakBefore w:val="0"/>
        <w:wordWrap/>
        <w:spacing w:before="160" w:after="0"/>
        <w:ind w:left="0" w:right="0"/>
        <w:jc w:val="left"/>
        <w:textAlignment w:val="auto"/>
        <w:rPr>
          <w:sz w:val="24"/>
        </w:rPr>
      </w:pPr>
      <w:r>
        <w:rPr>
          <w:rFonts w:ascii="宋体" w:hAnsi="宋体" w:eastAsia="宋体" w:cs="宋体"/>
          <w:b w:val="0"/>
          <w:i w:val="0"/>
          <w:spacing w:val="0"/>
          <w:sz w:val="24"/>
        </w:rPr>
        <w:t>荷兰式造景注重精确的规划和严格的执行，通过科学的布局和养护方法，实现水草的整齐美观和健康生长。</w:t>
      </w:r>
    </w:p>
    <w:p w14:paraId="585F58FD">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3. 日式风格</w:t>
      </w:r>
    </w:p>
    <w:p w14:paraId="5DA21707">
      <w:pPr>
        <w:pageBreakBefore w:val="0"/>
        <w:wordWrap/>
        <w:spacing w:before="160" w:after="0"/>
        <w:ind w:left="0" w:right="0"/>
        <w:jc w:val="left"/>
        <w:textAlignment w:val="auto"/>
        <w:rPr>
          <w:sz w:val="24"/>
        </w:rPr>
      </w:pPr>
      <w:r>
        <w:rPr>
          <w:rFonts w:ascii="宋体" w:hAnsi="宋体" w:eastAsia="宋体" w:cs="宋体"/>
          <w:b w:val="0"/>
          <w:i w:val="0"/>
          <w:spacing w:val="0"/>
          <w:sz w:val="24"/>
        </w:rPr>
        <w:t>日式水族造景受日本传统美学影响，强调简约、留白和意境的营造：</w:t>
      </w:r>
    </w:p>
    <w:p w14:paraId="6760F4E8">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布局</w:t>
      </w:r>
      <w:r>
        <w:rPr>
          <w:rFonts w:ascii="宋体" w:hAnsi="宋体" w:eastAsia="宋体" w:cs="宋体"/>
          <w:b w:val="0"/>
          <w:i w:val="0"/>
          <w:spacing w:val="0"/>
          <w:sz w:val="24"/>
        </w:rPr>
        <w:t>：注重留白和虚实结合，避免过度拥挤，强调"少即是多"的哲学</w:t>
      </w:r>
    </w:p>
    <w:p w14:paraId="2EB4A4D7">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构图</w:t>
      </w:r>
      <w:r>
        <w:rPr>
          <w:rFonts w:ascii="宋体" w:hAnsi="宋体" w:eastAsia="宋体" w:cs="宋体"/>
          <w:b w:val="0"/>
          <w:i w:val="0"/>
          <w:spacing w:val="0"/>
          <w:sz w:val="24"/>
        </w:rPr>
        <w:t>：受日本枯山水艺术启发，常采用不对称构图和透视手法</w:t>
      </w:r>
    </w:p>
    <w:p w14:paraId="06C0E032">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色彩</w:t>
      </w:r>
      <w:r>
        <w:rPr>
          <w:rFonts w:ascii="宋体" w:hAnsi="宋体" w:eastAsia="宋体" w:cs="宋体"/>
          <w:b w:val="0"/>
          <w:i w:val="0"/>
          <w:spacing w:val="0"/>
          <w:sz w:val="24"/>
        </w:rPr>
        <w:t>：偏好单色或相近色系的搭配，强调色彩的和谐统一</w:t>
      </w:r>
    </w:p>
    <w:p w14:paraId="40FEECCB">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材料</w:t>
      </w:r>
      <w:r>
        <w:rPr>
          <w:rFonts w:ascii="宋体" w:hAnsi="宋体" w:eastAsia="宋体" w:cs="宋体"/>
          <w:b w:val="0"/>
          <w:i w:val="0"/>
          <w:spacing w:val="0"/>
          <w:sz w:val="24"/>
        </w:rPr>
        <w:t>：多使用扁平石材、细枝沉木和苔藓类水草</w:t>
      </w:r>
    </w:p>
    <w:p w14:paraId="146C5514">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代表</w:t>
      </w:r>
      <w:r>
        <w:rPr>
          <w:rFonts w:ascii="宋体" w:hAnsi="宋体" w:eastAsia="宋体" w:cs="宋体"/>
          <w:b w:val="0"/>
          <w:i w:val="0"/>
          <w:spacing w:val="0"/>
          <w:sz w:val="24"/>
        </w:rPr>
        <w:t>：日本天野尚（Amano Takashi）的造景作品，强调自然与禅意的结合</w:t>
      </w:r>
    </w:p>
    <w:p w14:paraId="62F08A77">
      <w:pPr>
        <w:pageBreakBefore w:val="0"/>
        <w:wordWrap/>
        <w:spacing w:before="160" w:after="0"/>
        <w:ind w:left="0" w:right="0"/>
        <w:jc w:val="left"/>
        <w:textAlignment w:val="auto"/>
        <w:rPr>
          <w:sz w:val="24"/>
        </w:rPr>
      </w:pPr>
      <w:r>
        <w:rPr>
          <w:rFonts w:ascii="宋体" w:hAnsi="宋体" w:eastAsia="宋体" w:cs="宋体"/>
          <w:b w:val="0"/>
          <w:i w:val="0"/>
          <w:spacing w:val="0"/>
          <w:sz w:val="24"/>
        </w:rPr>
        <w:t>日式风格注重意境的表达，通过精心设计的景观，传达一种宁静、深远的美学体验。</w:t>
      </w:r>
    </w:p>
    <w:p w14:paraId="1CA0943E">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4. ADA风格</w:t>
      </w:r>
    </w:p>
    <w:p w14:paraId="480D62D6">
      <w:pPr>
        <w:pageBreakBefore w:val="0"/>
        <w:wordWrap/>
        <w:spacing w:before="160" w:after="0"/>
        <w:ind w:left="0" w:right="0"/>
        <w:jc w:val="left"/>
        <w:textAlignment w:val="auto"/>
        <w:rPr>
          <w:sz w:val="24"/>
        </w:rPr>
      </w:pPr>
      <w:r>
        <w:rPr>
          <w:rFonts w:ascii="宋体" w:hAnsi="宋体" w:eastAsia="宋体" w:cs="宋体"/>
          <w:b w:val="0"/>
          <w:i w:val="0"/>
          <w:spacing w:val="0"/>
          <w:sz w:val="24"/>
        </w:rPr>
        <w:t>ADA风格由日本ADA水族公司创始人天野尚（Amano Takashi）创立，是现代水族造景的标杆：</w:t>
      </w:r>
    </w:p>
    <w:p w14:paraId="537F4EB8">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核心理念</w:t>
      </w:r>
      <w:r>
        <w:rPr>
          <w:rFonts w:ascii="宋体" w:hAnsi="宋体" w:eastAsia="宋体" w:cs="宋体"/>
          <w:b w:val="0"/>
          <w:i w:val="0"/>
          <w:spacing w:val="0"/>
          <w:sz w:val="24"/>
        </w:rPr>
        <w:t>：以"自然水景"（Nature Aquarium）为导向，强调对自然环境的精确还原</w:t>
      </w:r>
    </w:p>
    <w:p w14:paraId="18ACBF9A">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标志性技术</w:t>
      </w:r>
      <w:r>
        <w:rPr>
          <w:rFonts w:ascii="宋体" w:hAnsi="宋体" w:eastAsia="宋体" w:cs="宋体"/>
          <w:b w:val="0"/>
          <w:i w:val="0"/>
          <w:spacing w:val="0"/>
          <w:sz w:val="24"/>
        </w:rPr>
        <w:t>：如苔玉（Moss Ball）、三面造景、透视布局等</w:t>
      </w:r>
    </w:p>
    <w:p w14:paraId="12FBEC32">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材料特色</w:t>
      </w:r>
      <w:r>
        <w:rPr>
          <w:rFonts w:ascii="宋体" w:hAnsi="宋体" w:eastAsia="宋体" w:cs="宋体"/>
          <w:b w:val="0"/>
          <w:i w:val="0"/>
          <w:spacing w:val="0"/>
          <w:sz w:val="24"/>
        </w:rPr>
        <w:t>：如溪石、布兰奇木、龙王石等专有材料</w:t>
      </w:r>
    </w:p>
    <w:p w14:paraId="034A4A88">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评判标准</w:t>
      </w:r>
      <w:r>
        <w:rPr>
          <w:rFonts w:ascii="宋体" w:hAnsi="宋体" w:eastAsia="宋体" w:cs="宋体"/>
          <w:b w:val="0"/>
          <w:i w:val="0"/>
          <w:spacing w:val="0"/>
          <w:sz w:val="24"/>
        </w:rPr>
        <w:t>：注重生态还原度（80%）、自然美学表达（20%）的评分体系</w:t>
      </w:r>
    </w:p>
    <w:p w14:paraId="060AA674">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代表作品</w:t>
      </w:r>
      <w:r>
        <w:rPr>
          <w:rFonts w:ascii="宋体" w:hAnsi="宋体" w:eastAsia="宋体" w:cs="宋体"/>
          <w:b w:val="0"/>
          <w:i w:val="0"/>
          <w:spacing w:val="0"/>
          <w:sz w:val="24"/>
        </w:rPr>
        <w:t>：2025年IAPLC获奖作品中的非对称布局、苔藓覆盖和生物适配性设计</w:t>
      </w:r>
    </w:p>
    <w:p w14:paraId="041DA14F">
      <w:pPr>
        <w:pageBreakBefore w:val="0"/>
        <w:wordWrap/>
        <w:spacing w:before="160" w:after="0"/>
        <w:ind w:left="0" w:right="0"/>
        <w:jc w:val="left"/>
        <w:textAlignment w:val="auto"/>
        <w:rPr>
          <w:sz w:val="24"/>
        </w:rPr>
      </w:pPr>
      <w:r>
        <w:rPr>
          <w:rFonts w:ascii="宋体" w:hAnsi="宋体" w:eastAsia="宋体" w:cs="宋体"/>
          <w:b w:val="0"/>
          <w:i w:val="0"/>
          <w:spacing w:val="0"/>
          <w:sz w:val="24"/>
        </w:rPr>
        <w:t>ADA风格不仅是一种造景风格，更代表了一种系统化的水族造景方法论，强调通过科学的管理和维护，实现景观的长期稳定和美观。</w:t>
      </w:r>
    </w:p>
    <w:p w14:paraId="669F0CD5">
      <w:pPr>
        <w:pageBreakBefore w:val="0"/>
        <w:wordWrap/>
        <w:spacing w:before="160" w:after="0"/>
        <w:ind w:left="0" w:right="0"/>
        <w:jc w:val="left"/>
        <w:textAlignment w:val="auto"/>
        <w:rPr>
          <w:rFonts w:ascii="宋体" w:hAnsi="宋体" w:eastAsia="宋体" w:cs="宋体"/>
          <w:b/>
          <w:i w:val="0"/>
          <w:spacing w:val="0"/>
          <w:sz w:val="24"/>
        </w:rPr>
      </w:pPr>
      <w:r>
        <w:drawing>
          <wp:anchor distT="0" distB="0" distL="114300" distR="114300" simplePos="0" relativeHeight="251659264" behindDoc="1" locked="0" layoutInCell="1" allowOverlap="1">
            <wp:simplePos x="0" y="0"/>
            <wp:positionH relativeFrom="column">
              <wp:posOffset>1267460</wp:posOffset>
            </wp:positionH>
            <wp:positionV relativeFrom="paragraph">
              <wp:posOffset>233045</wp:posOffset>
            </wp:positionV>
            <wp:extent cx="2774315" cy="2096770"/>
            <wp:effectExtent l="0" t="0" r="0" b="0"/>
            <wp:wrapThrough wrapText="bothSides">
              <wp:wrapPolygon>
                <wp:start x="0" y="0"/>
                <wp:lineTo x="0" y="21456"/>
                <wp:lineTo x="21457" y="21456"/>
                <wp:lineTo x="21457" y="0"/>
                <wp:lineTo x="0" y="0"/>
              </wp:wrapPolygon>
            </wp:wrapThrough>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4"/>
                    <a:stretch>
                      <a:fillRect/>
                    </a:stretch>
                  </pic:blipFill>
                  <pic:spPr>
                    <a:xfrm>
                      <a:off x="0" y="0"/>
                      <a:ext cx="2774315" cy="2096770"/>
                    </a:xfrm>
                    <a:prstGeom prst="rect">
                      <a:avLst/>
                    </a:prstGeom>
                    <a:noFill/>
                    <a:ln>
                      <a:noFill/>
                    </a:ln>
                  </pic:spPr>
                </pic:pic>
              </a:graphicData>
            </a:graphic>
          </wp:anchor>
        </w:drawing>
      </w:r>
    </w:p>
    <w:p w14:paraId="144556B3">
      <w:pPr>
        <w:pageBreakBefore w:val="0"/>
        <w:wordWrap/>
        <w:spacing w:before="160" w:after="0"/>
        <w:ind w:left="0" w:right="0"/>
        <w:jc w:val="left"/>
        <w:textAlignment w:val="auto"/>
        <w:rPr>
          <w:rFonts w:ascii="宋体" w:hAnsi="宋体" w:eastAsia="宋体" w:cs="宋体"/>
          <w:b/>
          <w:i w:val="0"/>
          <w:spacing w:val="0"/>
          <w:sz w:val="24"/>
        </w:rPr>
      </w:pPr>
    </w:p>
    <w:p w14:paraId="67C7E1FC">
      <w:pPr>
        <w:pageBreakBefore w:val="0"/>
        <w:wordWrap/>
        <w:spacing w:before="160" w:after="0"/>
        <w:ind w:left="0" w:right="0"/>
        <w:jc w:val="left"/>
        <w:textAlignment w:val="auto"/>
        <w:rPr>
          <w:rFonts w:ascii="宋体" w:hAnsi="宋体" w:eastAsia="宋体" w:cs="宋体"/>
          <w:b/>
          <w:i w:val="0"/>
          <w:spacing w:val="0"/>
          <w:sz w:val="24"/>
        </w:rPr>
      </w:pPr>
    </w:p>
    <w:p w14:paraId="7E6B15EC">
      <w:pPr>
        <w:pageBreakBefore w:val="0"/>
        <w:wordWrap/>
        <w:spacing w:before="160" w:after="0"/>
        <w:ind w:left="0" w:right="0"/>
        <w:jc w:val="left"/>
        <w:textAlignment w:val="auto"/>
        <w:rPr>
          <w:rFonts w:ascii="宋体" w:hAnsi="宋体" w:eastAsia="宋体" w:cs="宋体"/>
          <w:b/>
          <w:i w:val="0"/>
          <w:spacing w:val="0"/>
          <w:sz w:val="24"/>
        </w:rPr>
      </w:pPr>
    </w:p>
    <w:p w14:paraId="16A34BFD">
      <w:pPr>
        <w:pageBreakBefore w:val="0"/>
        <w:wordWrap/>
        <w:spacing w:before="160" w:after="0"/>
        <w:ind w:left="0" w:right="0"/>
        <w:jc w:val="left"/>
        <w:textAlignment w:val="auto"/>
        <w:rPr>
          <w:rFonts w:ascii="宋体" w:hAnsi="宋体" w:eastAsia="宋体" w:cs="宋体"/>
          <w:b/>
          <w:i w:val="0"/>
          <w:spacing w:val="0"/>
          <w:sz w:val="24"/>
        </w:rPr>
      </w:pPr>
    </w:p>
    <w:p w14:paraId="3C934F37">
      <w:pPr>
        <w:pageBreakBefore w:val="0"/>
        <w:wordWrap/>
        <w:spacing w:before="160" w:after="0"/>
        <w:ind w:left="0" w:right="0"/>
        <w:jc w:val="left"/>
        <w:textAlignment w:val="auto"/>
        <w:rPr>
          <w:rFonts w:ascii="宋体" w:hAnsi="宋体" w:eastAsia="宋体" w:cs="宋体"/>
          <w:b/>
          <w:i w:val="0"/>
          <w:spacing w:val="0"/>
          <w:sz w:val="24"/>
        </w:rPr>
      </w:pPr>
    </w:p>
    <w:p w14:paraId="23AC3F6D">
      <w:pPr>
        <w:pageBreakBefore w:val="0"/>
        <w:wordWrap/>
        <w:spacing w:before="160" w:after="0"/>
        <w:ind w:left="0" w:right="0"/>
        <w:jc w:val="left"/>
        <w:textAlignment w:val="auto"/>
        <w:rPr>
          <w:rFonts w:ascii="宋体" w:hAnsi="宋体" w:eastAsia="宋体" w:cs="宋体"/>
          <w:b/>
          <w:i w:val="0"/>
          <w:spacing w:val="0"/>
          <w:sz w:val="24"/>
        </w:rPr>
      </w:pPr>
    </w:p>
    <w:p w14:paraId="029ADF7C">
      <w:pPr>
        <w:pageBreakBefore w:val="0"/>
        <w:wordWrap/>
        <w:spacing w:before="160" w:after="0"/>
        <w:ind w:left="0" w:right="0"/>
        <w:jc w:val="left"/>
        <w:textAlignment w:val="auto"/>
        <w:rPr>
          <w:rFonts w:ascii="宋体" w:hAnsi="宋体" w:eastAsia="宋体" w:cs="宋体"/>
          <w:b/>
          <w:i w:val="0"/>
          <w:spacing w:val="0"/>
          <w:sz w:val="24"/>
        </w:rPr>
      </w:pPr>
    </w:p>
    <w:p w14:paraId="525D242A">
      <w:pPr>
        <w:pageBreakBefore w:val="0"/>
        <w:wordWrap/>
        <w:spacing w:before="160" w:after="0"/>
        <w:ind w:left="0" w:right="0"/>
        <w:jc w:val="left"/>
        <w:textAlignment w:val="auto"/>
        <w:rPr>
          <w:rFonts w:ascii="宋体" w:hAnsi="宋体" w:eastAsia="宋体" w:cs="宋体"/>
          <w:b/>
          <w:i w:val="0"/>
          <w:spacing w:val="0"/>
          <w:sz w:val="24"/>
        </w:rPr>
      </w:pPr>
    </w:p>
    <w:p w14:paraId="7E0D3044">
      <w:pPr>
        <w:pageBreakBefore w:val="0"/>
        <w:wordWrap/>
        <w:spacing w:before="160" w:after="0"/>
        <w:ind w:left="0" w:right="0"/>
        <w:jc w:val="left"/>
        <w:textAlignment w:val="auto"/>
        <w:rPr>
          <w:sz w:val="24"/>
        </w:rPr>
      </w:pPr>
      <w:r>
        <w:rPr>
          <w:rFonts w:ascii="宋体" w:hAnsi="宋体" w:eastAsia="宋体" w:cs="宋体"/>
          <w:b/>
          <w:i w:val="0"/>
          <w:spacing w:val="0"/>
          <w:sz w:val="24"/>
        </w:rPr>
        <w:t>1.1.3 应用场景</w:t>
      </w:r>
    </w:p>
    <w:p w14:paraId="795A2A75">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水族造景的应用场景已从传统的家庭观赏扩展到多个领域：</w:t>
      </w:r>
    </w:p>
    <w:p w14:paraId="009AE191">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1. 家庭场景</w:t>
      </w:r>
    </w:p>
    <w:p w14:paraId="12B7C396">
      <w:pPr>
        <w:pageBreakBefore w:val="0"/>
        <w:wordWrap/>
        <w:spacing w:before="160" w:after="0"/>
        <w:ind w:left="0" w:right="0"/>
        <w:jc w:val="left"/>
        <w:textAlignment w:val="auto"/>
        <w:rPr>
          <w:sz w:val="24"/>
        </w:rPr>
      </w:pPr>
      <w:r>
        <w:rPr>
          <w:rFonts w:ascii="宋体" w:hAnsi="宋体" w:eastAsia="宋体" w:cs="宋体"/>
          <w:b w:val="0"/>
          <w:i w:val="0"/>
          <w:spacing w:val="0"/>
          <w:sz w:val="24"/>
        </w:rPr>
        <w:t>家庭水族造景是最大的应用市场，主要特点包括：</w:t>
      </w:r>
    </w:p>
    <w:p w14:paraId="13177563">
      <w:pPr>
        <w:pageBreakBefore w:val="0"/>
        <w:numPr>
          <w:ilvl w:val="0"/>
          <w:numId w:val="6"/>
        </w:numPr>
        <w:wordWrap/>
        <w:spacing w:before="160" w:after="0"/>
        <w:ind w:left="440" w:right="0" w:hanging="440"/>
        <w:jc w:val="left"/>
        <w:textAlignment w:val="auto"/>
        <w:rPr>
          <w:sz w:val="24"/>
        </w:rPr>
      </w:pPr>
      <w:r>
        <w:rPr>
          <w:rFonts w:ascii="宋体" w:hAnsi="宋体" w:eastAsia="宋体" w:cs="宋体"/>
          <w:b/>
          <w:i w:val="0"/>
          <w:spacing w:val="0"/>
          <w:sz w:val="24"/>
        </w:rPr>
        <w:t>空间限制</w:t>
      </w:r>
      <w:r>
        <w:rPr>
          <w:rFonts w:ascii="宋体" w:hAnsi="宋体" w:eastAsia="宋体" w:cs="宋体"/>
          <w:b w:val="0"/>
          <w:i w:val="0"/>
          <w:spacing w:val="0"/>
          <w:sz w:val="24"/>
        </w:rPr>
        <w:t>：受限于家庭空间，缸体尺寸相对较小（通常30-120cm）</w:t>
      </w:r>
    </w:p>
    <w:p w14:paraId="0BE6B432">
      <w:pPr>
        <w:pageBreakBefore w:val="0"/>
        <w:numPr>
          <w:ilvl w:val="0"/>
          <w:numId w:val="6"/>
        </w:numPr>
        <w:wordWrap/>
        <w:spacing w:before="160" w:after="0"/>
        <w:ind w:left="440" w:right="0" w:hanging="440"/>
        <w:jc w:val="left"/>
        <w:textAlignment w:val="auto"/>
        <w:rPr>
          <w:sz w:val="24"/>
        </w:rPr>
      </w:pPr>
      <w:r>
        <w:rPr>
          <w:rFonts w:ascii="宋体" w:hAnsi="宋体" w:eastAsia="宋体" w:cs="宋体"/>
          <w:b/>
          <w:i w:val="0"/>
          <w:spacing w:val="0"/>
          <w:sz w:val="24"/>
        </w:rPr>
        <w:t>功能需求</w:t>
      </w:r>
      <w:r>
        <w:rPr>
          <w:rFonts w:ascii="宋体" w:hAnsi="宋体" w:eastAsia="宋体" w:cs="宋体"/>
          <w:b w:val="0"/>
          <w:i w:val="0"/>
          <w:spacing w:val="0"/>
          <w:sz w:val="24"/>
        </w:rPr>
        <w:t>：兼具观赏、减压、装饰等多重功能</w:t>
      </w:r>
    </w:p>
    <w:p w14:paraId="7ADA802D">
      <w:pPr>
        <w:pageBreakBefore w:val="0"/>
        <w:numPr>
          <w:ilvl w:val="0"/>
          <w:numId w:val="6"/>
        </w:numPr>
        <w:wordWrap/>
        <w:spacing w:before="160" w:after="0"/>
        <w:ind w:left="440" w:right="0" w:hanging="440"/>
        <w:jc w:val="left"/>
        <w:textAlignment w:val="auto"/>
        <w:rPr>
          <w:sz w:val="24"/>
        </w:rPr>
      </w:pPr>
      <w:r>
        <w:rPr>
          <w:rFonts w:ascii="宋体" w:hAnsi="宋体" w:eastAsia="宋体" w:cs="宋体"/>
          <w:b/>
          <w:i w:val="0"/>
          <w:spacing w:val="0"/>
          <w:sz w:val="24"/>
        </w:rPr>
        <w:t>维护能力</w:t>
      </w:r>
      <w:r>
        <w:rPr>
          <w:rFonts w:ascii="宋体" w:hAnsi="宋体" w:eastAsia="宋体" w:cs="宋体"/>
          <w:b w:val="0"/>
          <w:i w:val="0"/>
          <w:spacing w:val="0"/>
          <w:sz w:val="24"/>
        </w:rPr>
        <w:t>：维护难度需与家庭成员的养护能力相匹配</w:t>
      </w:r>
    </w:p>
    <w:p w14:paraId="66F86745">
      <w:pPr>
        <w:pageBreakBefore w:val="0"/>
        <w:numPr>
          <w:ilvl w:val="0"/>
          <w:numId w:val="6"/>
        </w:numPr>
        <w:wordWrap/>
        <w:spacing w:before="160" w:after="0"/>
        <w:ind w:left="440" w:right="0" w:hanging="440"/>
        <w:jc w:val="left"/>
        <w:textAlignment w:val="auto"/>
        <w:rPr>
          <w:sz w:val="24"/>
        </w:rPr>
      </w:pPr>
      <w:r>
        <w:rPr>
          <w:rFonts w:ascii="宋体" w:hAnsi="宋体" w:eastAsia="宋体" w:cs="宋体"/>
          <w:b/>
          <w:i w:val="0"/>
          <w:spacing w:val="0"/>
          <w:sz w:val="24"/>
        </w:rPr>
        <w:t>流行趋势</w:t>
      </w:r>
      <w:r>
        <w:rPr>
          <w:rFonts w:ascii="宋体" w:hAnsi="宋体" w:eastAsia="宋体" w:cs="宋体"/>
          <w:b w:val="0"/>
          <w:i w:val="0"/>
          <w:spacing w:val="0"/>
          <w:sz w:val="24"/>
        </w:rPr>
        <w:t>：从大型水草缸向小型化、家居融合化发展</w:t>
      </w:r>
    </w:p>
    <w:p w14:paraId="3D588F62">
      <w:pPr>
        <w:pageBreakBefore w:val="0"/>
        <w:numPr>
          <w:ilvl w:val="0"/>
          <w:numId w:val="6"/>
        </w:numPr>
        <w:wordWrap/>
        <w:spacing w:before="160" w:after="0"/>
        <w:ind w:left="440" w:right="0" w:hanging="440"/>
        <w:jc w:val="left"/>
        <w:textAlignment w:val="auto"/>
        <w:rPr>
          <w:sz w:val="24"/>
        </w:rPr>
      </w:pPr>
      <w:r>
        <w:rPr>
          <w:rFonts w:ascii="宋体" w:hAnsi="宋体" w:eastAsia="宋体" w:cs="宋体"/>
          <w:b/>
          <w:i w:val="0"/>
          <w:spacing w:val="0"/>
          <w:sz w:val="24"/>
        </w:rPr>
        <w:t>市场占比</w:t>
      </w:r>
      <w:r>
        <w:rPr>
          <w:rFonts w:ascii="宋体" w:hAnsi="宋体" w:eastAsia="宋体" w:cs="宋体"/>
          <w:b w:val="0"/>
          <w:i w:val="0"/>
          <w:spacing w:val="0"/>
          <w:sz w:val="24"/>
        </w:rPr>
        <w:t>：中国水族市场中，家庭场景占比超过90%，客厅为主要放置位置</w:t>
      </w:r>
    </w:p>
    <w:p w14:paraId="67057AF8">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2. 商业场景</w:t>
      </w:r>
    </w:p>
    <w:p w14:paraId="1CA133C2">
      <w:pPr>
        <w:pageBreakBefore w:val="0"/>
        <w:wordWrap/>
        <w:spacing w:before="160" w:after="0"/>
        <w:ind w:left="0" w:right="0"/>
        <w:jc w:val="left"/>
        <w:textAlignment w:val="auto"/>
        <w:rPr>
          <w:sz w:val="24"/>
        </w:rPr>
      </w:pPr>
      <w:r>
        <w:rPr>
          <w:rFonts w:ascii="宋体" w:hAnsi="宋体" w:eastAsia="宋体" w:cs="宋体"/>
          <w:b w:val="0"/>
          <w:i w:val="0"/>
          <w:spacing w:val="0"/>
          <w:sz w:val="24"/>
        </w:rPr>
        <w:t>商业水族造景主要用于商场、酒店、办公场所等公共空间：</w:t>
      </w:r>
    </w:p>
    <w:p w14:paraId="4F2170B2">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空间特点</w:t>
      </w:r>
      <w:r>
        <w:rPr>
          <w:rFonts w:ascii="宋体" w:hAnsi="宋体" w:eastAsia="宋体" w:cs="宋体"/>
          <w:b w:val="0"/>
          <w:i w:val="0"/>
          <w:spacing w:val="0"/>
          <w:sz w:val="24"/>
        </w:rPr>
        <w:t>：缸体尺寸较大（通常60-300cm），甚至可达数米</w:t>
      </w:r>
    </w:p>
    <w:p w14:paraId="0786D91E">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功能需求</w:t>
      </w:r>
      <w:r>
        <w:rPr>
          <w:rFonts w:ascii="宋体" w:hAnsi="宋体" w:eastAsia="宋体" w:cs="宋体"/>
          <w:b w:val="0"/>
          <w:i w:val="0"/>
          <w:spacing w:val="0"/>
          <w:sz w:val="24"/>
        </w:rPr>
        <w:t>：兼具装饰、吸引客流、提升环境品质等商业价值</w:t>
      </w:r>
    </w:p>
    <w:p w14:paraId="316EC496">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维护要求</w:t>
      </w:r>
      <w:r>
        <w:rPr>
          <w:rFonts w:ascii="宋体" w:hAnsi="宋体" w:eastAsia="宋体" w:cs="宋体"/>
          <w:b w:val="0"/>
          <w:i w:val="0"/>
          <w:spacing w:val="0"/>
          <w:sz w:val="24"/>
        </w:rPr>
        <w:t>：需考虑长期稳定性和维护便利性</w:t>
      </w:r>
    </w:p>
    <w:p w14:paraId="66D7334F">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流行趋势</w:t>
      </w:r>
      <w:r>
        <w:rPr>
          <w:rFonts w:ascii="宋体" w:hAnsi="宋体" w:eastAsia="宋体" w:cs="宋体"/>
          <w:b w:val="0"/>
          <w:i w:val="0"/>
          <w:spacing w:val="0"/>
          <w:sz w:val="24"/>
        </w:rPr>
        <w:t>：从简单的鱼缸向生态缸、互动水族装置发展</w:t>
      </w:r>
    </w:p>
    <w:p w14:paraId="4CFBA462">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市场增长</w:t>
      </w:r>
      <w:r>
        <w:rPr>
          <w:rFonts w:ascii="宋体" w:hAnsi="宋体" w:eastAsia="宋体" w:cs="宋体"/>
          <w:b w:val="0"/>
          <w:i w:val="0"/>
          <w:spacing w:val="0"/>
          <w:sz w:val="24"/>
        </w:rPr>
        <w:t>：2025年中国商业水族造景市场规模同比增长25%，增速超过家庭市场</w:t>
      </w:r>
    </w:p>
    <w:p w14:paraId="6E5FD3AC">
      <w:pPr>
        <w:pageBreakBefore w:val="0"/>
        <w:wordWrap/>
        <w:spacing w:before="160" w:after="0"/>
        <w:ind w:left="0" w:right="0"/>
        <w:jc w:val="left"/>
        <w:textAlignment w:val="auto"/>
        <w:rPr>
          <w:sz w:val="24"/>
          <w:szCs w:val="36"/>
        </w:rPr>
      </w:pPr>
      <w:r>
        <w:rPr>
          <w:rFonts w:ascii="宋体" w:hAnsi="宋体" w:eastAsia="宋体" w:cs="宋体"/>
          <w:b/>
          <w:i w:val="0"/>
          <w:spacing w:val="0"/>
          <w:sz w:val="24"/>
          <w:szCs w:val="36"/>
        </w:rPr>
        <w:t>3. 教育场景</w:t>
      </w:r>
    </w:p>
    <w:p w14:paraId="0B36A599">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水族造景在教育领域具有独特价值，主要应用于：</w:t>
      </w:r>
    </w:p>
    <w:p w14:paraId="6E95C5BD">
      <w:pPr>
        <w:pageBreakBefore w:val="0"/>
        <w:numPr>
          <w:ilvl w:val="0"/>
          <w:numId w:val="8"/>
        </w:numPr>
        <w:wordWrap/>
        <w:spacing w:before="160" w:after="0"/>
        <w:ind w:left="440" w:right="0" w:hanging="440"/>
        <w:jc w:val="left"/>
        <w:textAlignment w:val="auto"/>
        <w:rPr>
          <w:sz w:val="24"/>
        </w:rPr>
      </w:pPr>
      <w:r>
        <w:rPr>
          <w:rFonts w:ascii="宋体" w:hAnsi="宋体" w:eastAsia="宋体" w:cs="宋体"/>
          <w:b/>
          <w:i w:val="0"/>
          <w:spacing w:val="0"/>
          <w:sz w:val="24"/>
        </w:rPr>
        <w:t>学校实验室</w:t>
      </w:r>
      <w:r>
        <w:rPr>
          <w:rFonts w:ascii="宋体" w:hAnsi="宋体" w:eastAsia="宋体" w:cs="宋体"/>
          <w:b w:val="0"/>
          <w:i w:val="0"/>
          <w:spacing w:val="0"/>
          <w:sz w:val="24"/>
        </w:rPr>
        <w:t>：展示水生生态系统和微生物作用</w:t>
      </w:r>
    </w:p>
    <w:p w14:paraId="5C8F5098">
      <w:pPr>
        <w:pageBreakBefore w:val="0"/>
        <w:numPr>
          <w:ilvl w:val="0"/>
          <w:numId w:val="8"/>
        </w:numPr>
        <w:wordWrap/>
        <w:spacing w:before="160" w:after="0"/>
        <w:ind w:left="440" w:right="0" w:hanging="440"/>
        <w:jc w:val="left"/>
        <w:textAlignment w:val="auto"/>
        <w:rPr>
          <w:sz w:val="24"/>
        </w:rPr>
      </w:pPr>
      <w:r>
        <w:rPr>
          <w:rFonts w:ascii="宋体" w:hAnsi="宋体" w:eastAsia="宋体" w:cs="宋体"/>
          <w:b/>
          <w:i w:val="0"/>
          <w:spacing w:val="0"/>
          <w:sz w:val="24"/>
        </w:rPr>
        <w:t>科普场馆</w:t>
      </w:r>
      <w:r>
        <w:rPr>
          <w:rFonts w:ascii="宋体" w:hAnsi="宋体" w:eastAsia="宋体" w:cs="宋体"/>
          <w:b w:val="0"/>
          <w:i w:val="0"/>
          <w:spacing w:val="0"/>
          <w:sz w:val="24"/>
        </w:rPr>
        <w:t>：通过水族箱演示生态平衡和生物多样性</w:t>
      </w:r>
    </w:p>
    <w:p w14:paraId="26F14C03">
      <w:pPr>
        <w:pageBreakBefore w:val="0"/>
        <w:numPr>
          <w:ilvl w:val="0"/>
          <w:numId w:val="8"/>
        </w:numPr>
        <w:wordWrap/>
        <w:spacing w:before="160" w:after="0"/>
        <w:ind w:left="440" w:right="0" w:hanging="440"/>
        <w:jc w:val="left"/>
        <w:textAlignment w:val="auto"/>
        <w:rPr>
          <w:sz w:val="24"/>
        </w:rPr>
      </w:pPr>
      <w:r>
        <w:rPr>
          <w:rFonts w:ascii="宋体" w:hAnsi="宋体" w:eastAsia="宋体" w:cs="宋体"/>
          <w:b/>
          <w:i w:val="0"/>
          <w:spacing w:val="0"/>
          <w:sz w:val="24"/>
        </w:rPr>
        <w:t>环保教育</w:t>
      </w:r>
      <w:r>
        <w:rPr>
          <w:rFonts w:ascii="宋体" w:hAnsi="宋体" w:eastAsia="宋体" w:cs="宋体"/>
          <w:b w:val="0"/>
          <w:i w:val="0"/>
          <w:spacing w:val="0"/>
          <w:sz w:val="24"/>
        </w:rPr>
        <w:t>：展示水资源保护和生态修复的重要性</w:t>
      </w:r>
    </w:p>
    <w:p w14:paraId="33747309">
      <w:pPr>
        <w:pageBreakBefore w:val="0"/>
        <w:numPr>
          <w:ilvl w:val="0"/>
          <w:numId w:val="8"/>
        </w:numPr>
        <w:wordWrap/>
        <w:spacing w:before="160" w:after="0"/>
        <w:ind w:left="440" w:right="0" w:hanging="440"/>
        <w:jc w:val="left"/>
        <w:textAlignment w:val="auto"/>
        <w:rPr>
          <w:sz w:val="24"/>
        </w:rPr>
      </w:pPr>
      <w:r>
        <w:rPr>
          <w:rFonts w:ascii="宋体" w:hAnsi="宋体" w:eastAsia="宋体" w:cs="宋体"/>
          <w:b/>
          <w:i w:val="0"/>
          <w:spacing w:val="0"/>
          <w:sz w:val="24"/>
        </w:rPr>
        <w:t>特殊价值</w:t>
      </w:r>
      <w:r>
        <w:rPr>
          <w:rFonts w:ascii="宋体" w:hAnsi="宋体" w:eastAsia="宋体" w:cs="宋体"/>
          <w:b w:val="0"/>
          <w:i w:val="0"/>
          <w:spacing w:val="0"/>
          <w:sz w:val="24"/>
        </w:rPr>
        <w:t>：水族造景中的生态系统可作为教学工具，帮助学生理解复杂的生态学原理</w:t>
      </w:r>
    </w:p>
    <w:p w14:paraId="71482CF0">
      <w:pPr>
        <w:pageBreakBefore w:val="0"/>
        <w:numPr>
          <w:ilvl w:val="0"/>
          <w:numId w:val="8"/>
        </w:numPr>
        <w:wordWrap/>
        <w:spacing w:before="160" w:after="0"/>
        <w:ind w:left="440" w:right="0" w:hanging="440"/>
        <w:jc w:val="left"/>
        <w:textAlignment w:val="auto"/>
        <w:rPr>
          <w:sz w:val="24"/>
        </w:rPr>
      </w:pPr>
      <w:r>
        <w:rPr>
          <w:rFonts w:ascii="宋体" w:hAnsi="宋体" w:eastAsia="宋体" w:cs="宋体"/>
          <w:b/>
          <w:i w:val="0"/>
          <w:spacing w:val="0"/>
          <w:sz w:val="24"/>
        </w:rPr>
        <w:t>发展趋势</w:t>
      </w:r>
      <w:r>
        <w:rPr>
          <w:rFonts w:ascii="宋体" w:hAnsi="宋体" w:eastAsia="宋体" w:cs="宋体"/>
          <w:b w:val="0"/>
          <w:i w:val="0"/>
          <w:spacing w:val="0"/>
          <w:sz w:val="24"/>
        </w:rPr>
        <w:t>：2025年，中国已有30多所高校开设水族造景相关课程，培养专业人才</w:t>
      </w:r>
    </w:p>
    <w:p w14:paraId="06F8BB27">
      <w:pPr>
        <w:pageBreakBefore w:val="0"/>
        <w:wordWrap/>
        <w:spacing w:before="160" w:after="0"/>
        <w:ind w:left="0" w:right="0"/>
        <w:jc w:val="left"/>
        <w:textAlignment w:val="auto"/>
        <w:rPr>
          <w:sz w:val="28"/>
        </w:rPr>
      </w:pPr>
      <w:r>
        <w:rPr>
          <w:rFonts w:ascii="宋体" w:hAnsi="宋体" w:eastAsia="宋体" w:cs="宋体"/>
          <w:b/>
          <w:i w:val="0"/>
          <w:spacing w:val="0"/>
          <w:sz w:val="28"/>
        </w:rPr>
        <w:t>1.2 水族造景的发展历程</w:t>
      </w:r>
    </w:p>
    <w:p w14:paraId="397906B9">
      <w:pPr>
        <w:pageBreakBefore w:val="0"/>
        <w:wordWrap/>
        <w:spacing w:before="160" w:after="0"/>
        <w:ind w:left="0" w:right="0"/>
        <w:jc w:val="left"/>
        <w:textAlignment w:val="auto"/>
        <w:rPr>
          <w:sz w:val="24"/>
        </w:rPr>
      </w:pPr>
      <w:r>
        <w:rPr>
          <w:rFonts w:ascii="宋体" w:hAnsi="宋体" w:eastAsia="宋体" w:cs="宋体"/>
          <w:b/>
          <w:i w:val="0"/>
          <w:spacing w:val="0"/>
          <w:sz w:val="24"/>
        </w:rPr>
        <w:t>1.2.1 起源与早期发展</w:t>
      </w:r>
    </w:p>
    <w:p w14:paraId="57B3035B">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水族造景的起源可追溯至19世纪中叶的英国维多利亚时代，这一时期科学与艺术的结合催生了水族箱艺术化的开端：</w:t>
      </w:r>
    </w:p>
    <w:p w14:paraId="6DBCEA21">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1851年</w:t>
      </w:r>
      <w:r>
        <w:rPr>
          <w:rFonts w:ascii="宋体" w:hAnsi="宋体" w:eastAsia="宋体" w:cs="宋体"/>
          <w:b w:val="0"/>
          <w:i w:val="0"/>
          <w:spacing w:val="0"/>
          <w:sz w:val="24"/>
        </w:rPr>
        <w:t>：伦敦水晶宫世博会首次大规模展示水族箱，成为公众科学与休闲的热点</w:t>
      </w:r>
    </w:p>
    <w:p w14:paraId="64E33213">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1853年</w:t>
      </w:r>
      <w:r>
        <w:rPr>
          <w:rFonts w:ascii="宋体" w:hAnsi="宋体" w:eastAsia="宋体" w:cs="宋体"/>
          <w:b w:val="0"/>
          <w:i w:val="0"/>
          <w:spacing w:val="0"/>
          <w:sz w:val="24"/>
        </w:rPr>
        <w:t>：英国摄政公园建立第一个公共水族馆，标志着水族箱从科研工具向公众展示品转变</w:t>
      </w:r>
    </w:p>
    <w:p w14:paraId="461472AC">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1856年</w:t>
      </w:r>
      <w:r>
        <w:rPr>
          <w:rFonts w:ascii="宋体" w:hAnsi="宋体" w:eastAsia="宋体" w:cs="宋体"/>
          <w:b w:val="0"/>
          <w:i w:val="0"/>
          <w:spacing w:val="0"/>
          <w:sz w:val="24"/>
        </w:rPr>
        <w:t>：美国纽约出现首家私营水族馆，P.T. Barnum认识到水族箱的商业价值</w:t>
      </w:r>
    </w:p>
    <w:p w14:paraId="2402A828">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19世纪60年代</w:t>
      </w:r>
      <w:r>
        <w:rPr>
          <w:rFonts w:ascii="宋体" w:hAnsi="宋体" w:eastAsia="宋体" w:cs="宋体"/>
          <w:b w:val="0"/>
          <w:i w:val="0"/>
          <w:spacing w:val="0"/>
          <w:sz w:val="24"/>
        </w:rPr>
        <w:t>：水晶宫重建后设立大型海洋水族馆，进一步推动水族箱的发展</w:t>
      </w:r>
    </w:p>
    <w:p w14:paraId="2E8F1037">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1956年</w:t>
      </w:r>
      <w:r>
        <w:rPr>
          <w:rFonts w:ascii="宋体" w:hAnsi="宋体" w:eastAsia="宋体" w:cs="宋体"/>
          <w:b w:val="0"/>
          <w:i w:val="0"/>
          <w:spacing w:val="0"/>
          <w:sz w:val="24"/>
        </w:rPr>
        <w:t>：荷兰举办首届水草造景比赛，开创了系统化水族造景的先河</w:t>
      </w:r>
    </w:p>
    <w:p w14:paraId="4BC1B2EA">
      <w:pPr>
        <w:pageBreakBefore w:val="0"/>
        <w:wordWrap/>
        <w:spacing w:before="160" w:after="0"/>
        <w:ind w:left="0" w:right="0"/>
        <w:jc w:val="left"/>
        <w:textAlignment w:val="auto"/>
        <w:rPr>
          <w:sz w:val="24"/>
        </w:rPr>
      </w:pPr>
      <w:r>
        <w:rPr>
          <w:rFonts w:ascii="宋体" w:hAnsi="宋体" w:eastAsia="宋体" w:cs="宋体"/>
          <w:b w:val="0"/>
          <w:i w:val="0"/>
          <w:spacing w:val="0"/>
          <w:sz w:val="24"/>
        </w:rPr>
        <w:t>这一时期，水族箱主要用于展示水生生物，造景仍处于萌芽阶段，主要通过简单的底砂和少量水草进行装饰。</w:t>
      </w:r>
    </w:p>
    <w:p w14:paraId="419D8DC9">
      <w:pPr>
        <w:pageBreakBefore w:val="0"/>
        <w:wordWrap/>
        <w:spacing w:before="160" w:after="0"/>
        <w:ind w:left="0" w:right="0"/>
        <w:jc w:val="left"/>
        <w:textAlignment w:val="auto"/>
        <w:rPr>
          <w:rFonts w:ascii="宋体" w:hAnsi="宋体" w:eastAsia="宋体" w:cs="宋体"/>
          <w:b/>
          <w:i w:val="0"/>
          <w:spacing w:val="0"/>
          <w:sz w:val="24"/>
        </w:rPr>
      </w:pPr>
    </w:p>
    <w:p w14:paraId="747EC8B8">
      <w:pPr>
        <w:pageBreakBefore w:val="0"/>
        <w:wordWrap/>
        <w:spacing w:before="160" w:after="0"/>
        <w:ind w:left="0" w:right="0"/>
        <w:jc w:val="left"/>
        <w:textAlignment w:val="auto"/>
        <w:rPr>
          <w:sz w:val="24"/>
        </w:rPr>
      </w:pPr>
      <w:r>
        <w:rPr>
          <w:rFonts w:ascii="宋体" w:hAnsi="宋体" w:eastAsia="宋体" w:cs="宋体"/>
          <w:b/>
          <w:i w:val="0"/>
          <w:spacing w:val="0"/>
          <w:sz w:val="24"/>
        </w:rPr>
        <w:t>1.2.2 现代水族造景的演变</w:t>
      </w:r>
    </w:p>
    <w:p w14:paraId="565D07A8">
      <w:pPr>
        <w:pageBreakBefore w:val="0"/>
        <w:wordWrap/>
        <w:spacing w:before="160" w:after="0"/>
        <w:ind w:left="0" w:right="0"/>
        <w:jc w:val="left"/>
        <w:textAlignment w:val="auto"/>
        <w:rPr>
          <w:sz w:val="24"/>
        </w:rPr>
      </w:pPr>
      <w:r>
        <w:rPr>
          <w:rFonts w:ascii="宋体" w:hAnsi="宋体" w:eastAsia="宋体" w:cs="宋体"/>
          <w:b w:val="0"/>
          <w:i w:val="0"/>
          <w:spacing w:val="0"/>
          <w:sz w:val="24"/>
        </w:rPr>
        <w:t>现代水族造景的发展经历了几个关键阶段：</w:t>
      </w:r>
    </w:p>
    <w:p w14:paraId="4B93C58D">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1950-1980年代</w:t>
      </w:r>
      <w:r>
        <w:rPr>
          <w:rFonts w:ascii="宋体" w:hAnsi="宋体" w:eastAsia="宋体" w:cs="宋体"/>
          <w:b w:val="0"/>
          <w:i w:val="0"/>
          <w:spacing w:val="0"/>
          <w:sz w:val="24"/>
        </w:rPr>
        <w:t>：荷兰式造景确立其地位，通过严格的布局和精确的光照控制实现水草的整齐美观</w:t>
      </w:r>
    </w:p>
    <w:p w14:paraId="5B308453">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1980-2000年代</w:t>
      </w:r>
      <w:r>
        <w:rPr>
          <w:rFonts w:ascii="宋体" w:hAnsi="宋体" w:eastAsia="宋体" w:cs="宋体"/>
          <w:b w:val="0"/>
          <w:i w:val="0"/>
          <w:spacing w:val="0"/>
          <w:sz w:val="24"/>
        </w:rPr>
        <w:t>：日本ADA公司引领水族造景革命，将水族箱提升为真正的艺术形式</w:t>
      </w:r>
    </w:p>
    <w:p w14:paraId="0FEF3899">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2000-2010年代</w:t>
      </w:r>
      <w:r>
        <w:rPr>
          <w:rFonts w:ascii="宋体" w:hAnsi="宋体" w:eastAsia="宋体" w:cs="宋体"/>
          <w:b w:val="0"/>
          <w:i w:val="0"/>
          <w:spacing w:val="0"/>
          <w:sz w:val="24"/>
        </w:rPr>
        <w:t>：水族造景技术全球化，中国台湾和香港成为亚太地区水族造景的重要中心</w:t>
      </w:r>
    </w:p>
    <w:p w14:paraId="653C61AC">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2016年</w:t>
      </w:r>
      <w:r>
        <w:rPr>
          <w:rFonts w:ascii="宋体" w:hAnsi="宋体" w:eastAsia="宋体" w:cs="宋体"/>
          <w:b w:val="0"/>
          <w:i w:val="0"/>
          <w:spacing w:val="0"/>
          <w:sz w:val="24"/>
        </w:rPr>
        <w:t>：中国渔业协会水族造景分会成立，标志着中国水族造景进入规范化发展时期</w:t>
      </w:r>
    </w:p>
    <w:p w14:paraId="735AC655">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2020-2025年</w:t>
      </w:r>
      <w:r>
        <w:rPr>
          <w:rFonts w:ascii="宋体" w:hAnsi="宋体" w:eastAsia="宋体" w:cs="宋体"/>
          <w:b w:val="0"/>
          <w:i w:val="0"/>
          <w:spacing w:val="0"/>
          <w:sz w:val="24"/>
        </w:rPr>
        <w:t>：水族造景技术与智能设备融合，进入"智能水族"时代，如自动换水、远程喂食等功能逐渐普及</w:t>
      </w:r>
    </w:p>
    <w:p w14:paraId="66023A05">
      <w:pPr>
        <w:pageBreakBefore w:val="0"/>
        <w:wordWrap/>
        <w:spacing w:before="160" w:after="0"/>
        <w:ind w:left="0" w:right="0"/>
        <w:jc w:val="left"/>
        <w:textAlignment w:val="auto"/>
        <w:rPr>
          <w:sz w:val="24"/>
        </w:rPr>
      </w:pPr>
      <w:r>
        <w:rPr>
          <w:rFonts w:ascii="宋体" w:hAnsi="宋体" w:eastAsia="宋体" w:cs="宋体"/>
          <w:b w:val="0"/>
          <w:i w:val="0"/>
          <w:spacing w:val="0"/>
          <w:sz w:val="24"/>
        </w:rPr>
        <w:t>现代水族造景的核心变革在于从"观赏生物"向"观赏景观"的转变，</w:t>
      </w:r>
      <w:r>
        <w:rPr>
          <w:rFonts w:ascii="宋体" w:hAnsi="宋体" w:eastAsia="宋体" w:cs="宋体"/>
          <w:b/>
          <w:i w:val="0"/>
          <w:spacing w:val="0"/>
          <w:sz w:val="24"/>
        </w:rPr>
        <w:t>将水族箱从简单的养鱼容器提升为具有艺术价值和生态功能的综合展示系统</w:t>
      </w:r>
      <w:r>
        <w:rPr>
          <w:rFonts w:ascii="宋体" w:hAnsi="宋体" w:eastAsia="宋体" w:cs="宋体"/>
          <w:b w:val="0"/>
          <w:i w:val="0"/>
          <w:spacing w:val="0"/>
          <w:sz w:val="24"/>
        </w:rPr>
        <w:t>。</w:t>
      </w:r>
    </w:p>
    <w:p w14:paraId="7ACD4C4F">
      <w:pPr>
        <w:pageBreakBefore w:val="0"/>
        <w:wordWrap/>
        <w:spacing w:before="160" w:after="0"/>
        <w:ind w:left="0" w:right="0"/>
        <w:jc w:val="left"/>
        <w:textAlignment w:val="auto"/>
        <w:rPr>
          <w:sz w:val="24"/>
        </w:rPr>
      </w:pPr>
      <w:r>
        <w:rPr>
          <w:rFonts w:ascii="宋体" w:hAnsi="宋体" w:eastAsia="宋体" w:cs="宋体"/>
          <w:b/>
          <w:i w:val="0"/>
          <w:spacing w:val="0"/>
          <w:sz w:val="24"/>
        </w:rPr>
        <w:t>1.2.3 国际与国内现状对比</w:t>
      </w:r>
    </w:p>
    <w:p w14:paraId="6DC74B5B">
      <w:pPr>
        <w:pageBreakBefore w:val="0"/>
        <w:wordWrap/>
        <w:spacing w:before="160" w:after="0"/>
        <w:ind w:left="0" w:right="0"/>
        <w:jc w:val="left"/>
        <w:textAlignment w:val="auto"/>
        <w:rPr>
          <w:sz w:val="24"/>
        </w:rPr>
      </w:pPr>
      <w:r>
        <w:rPr>
          <w:rFonts w:ascii="宋体" w:hAnsi="宋体" w:eastAsia="宋体" w:cs="宋体"/>
          <w:b w:val="0"/>
          <w:i w:val="0"/>
          <w:spacing w:val="0"/>
          <w:sz w:val="24"/>
        </w:rPr>
        <w:t>国际与国内水族造景行业在发展阶段、市场结构和技术水平上存在显著差异：</w:t>
      </w:r>
    </w:p>
    <w:p w14:paraId="65EB09E6">
      <w:pPr>
        <w:pageBreakBefore w:val="0"/>
        <w:wordWrap/>
        <w:spacing w:before="160" w:after="0"/>
        <w:ind w:left="0" w:right="0"/>
        <w:jc w:val="left"/>
        <w:textAlignment w:val="auto"/>
        <w:rPr>
          <w:sz w:val="20"/>
        </w:rPr>
      </w:pPr>
      <w:r>
        <w:rPr>
          <w:rFonts w:ascii="宋体" w:hAnsi="宋体" w:eastAsia="宋体" w:cs="宋体"/>
          <w:b/>
          <w:i w:val="0"/>
          <w:spacing w:val="0"/>
          <w:sz w:val="20"/>
        </w:rPr>
        <w:t>国际市场现状</w:t>
      </w:r>
    </w:p>
    <w:p w14:paraId="12BCC6C4">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发展阶段</w:t>
      </w:r>
      <w:r>
        <w:rPr>
          <w:rFonts w:ascii="宋体" w:hAnsi="宋体" w:eastAsia="宋体" w:cs="宋体"/>
          <w:b w:val="0"/>
          <w:i w:val="0"/>
          <w:spacing w:val="0"/>
          <w:sz w:val="24"/>
        </w:rPr>
        <w:t>：已进入成熟期，形成完整的产业链和标准化服务体系</w:t>
      </w:r>
    </w:p>
    <w:p w14:paraId="53D616C0">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市场规模</w:t>
      </w:r>
      <w:r>
        <w:rPr>
          <w:rFonts w:ascii="宋体" w:hAnsi="宋体" w:eastAsia="宋体" w:cs="宋体"/>
          <w:b w:val="0"/>
          <w:i w:val="0"/>
          <w:spacing w:val="0"/>
          <w:sz w:val="24"/>
        </w:rPr>
        <w:t>：2025年全球水族造景市场规模约500亿美元，年增长率约5%</w:t>
      </w:r>
    </w:p>
    <w:p w14:paraId="7E74FE0F">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技术特点</w:t>
      </w:r>
      <w:r>
        <w:rPr>
          <w:rFonts w:ascii="宋体" w:hAnsi="宋体" w:eastAsia="宋体" w:cs="宋体"/>
          <w:b w:val="0"/>
          <w:i w:val="0"/>
          <w:spacing w:val="0"/>
          <w:sz w:val="24"/>
        </w:rPr>
        <w:t>：注重生态平衡和长期稳定，技术参数精确</w:t>
      </w:r>
    </w:p>
    <w:p w14:paraId="4CF70F81">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风格引领</w:t>
      </w:r>
      <w:r>
        <w:rPr>
          <w:rFonts w:ascii="宋体" w:hAnsi="宋体" w:eastAsia="宋体" w:cs="宋体"/>
          <w:b w:val="0"/>
          <w:i w:val="0"/>
          <w:spacing w:val="0"/>
          <w:sz w:val="24"/>
        </w:rPr>
        <w:t>：日本ADA和德国"水草缸之艺术"（The Art of the Planted Aquarium）引领全球风格潮流</w:t>
      </w:r>
    </w:p>
    <w:p w14:paraId="7E4ADE4A">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赛事体系</w:t>
      </w:r>
      <w:r>
        <w:rPr>
          <w:rFonts w:ascii="宋体" w:hAnsi="宋体" w:eastAsia="宋体" w:cs="宋体"/>
          <w:b w:val="0"/>
          <w:i w:val="0"/>
          <w:spacing w:val="0"/>
          <w:sz w:val="24"/>
        </w:rPr>
        <w:t>：如IAPLC（国际水草造景师协会）等国际赛事已成为行业标准</w:t>
      </w:r>
    </w:p>
    <w:p w14:paraId="42C2322C">
      <w:pPr>
        <w:pageBreakBefore w:val="0"/>
        <w:wordWrap/>
        <w:spacing w:before="160" w:after="0"/>
        <w:ind w:left="0" w:right="0"/>
        <w:jc w:val="left"/>
        <w:textAlignment w:val="auto"/>
        <w:rPr>
          <w:sz w:val="20"/>
        </w:rPr>
      </w:pPr>
      <w:r>
        <w:rPr>
          <w:rFonts w:ascii="宋体" w:hAnsi="宋体" w:eastAsia="宋体" w:cs="宋体"/>
          <w:b/>
          <w:i w:val="0"/>
          <w:spacing w:val="0"/>
          <w:sz w:val="20"/>
        </w:rPr>
        <w:t>中国市场现状</w:t>
      </w:r>
    </w:p>
    <w:p w14:paraId="0189846E">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发展阶段</w:t>
      </w:r>
      <w:r>
        <w:rPr>
          <w:rFonts w:ascii="宋体" w:hAnsi="宋体" w:eastAsia="宋体" w:cs="宋体"/>
          <w:b w:val="0"/>
          <w:i w:val="0"/>
          <w:spacing w:val="0"/>
          <w:sz w:val="24"/>
        </w:rPr>
        <w:t>：处于快速发展期，从2016年起步，短短几年内市场规模迅速扩大</w:t>
      </w:r>
    </w:p>
    <w:p w14:paraId="4FE07EC5">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市场规模</w:t>
      </w:r>
      <w:r>
        <w:rPr>
          <w:rFonts w:ascii="宋体" w:hAnsi="宋体" w:eastAsia="宋体" w:cs="宋体"/>
          <w:b w:val="0"/>
          <w:i w:val="0"/>
          <w:spacing w:val="0"/>
          <w:sz w:val="24"/>
        </w:rPr>
        <w:t>：2024年中国高端水族箱造景市场规模已达到约120亿元，预计2030年将突破200亿元</w:t>
      </w:r>
    </w:p>
    <w:p w14:paraId="0F625C3A">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技术特点</w:t>
      </w:r>
      <w:r>
        <w:rPr>
          <w:rFonts w:ascii="宋体" w:hAnsi="宋体" w:eastAsia="宋体" w:cs="宋体"/>
          <w:b w:val="0"/>
          <w:i w:val="0"/>
          <w:spacing w:val="0"/>
          <w:sz w:val="24"/>
        </w:rPr>
        <w:t>：从模仿到创新，逐步建立本土化技术体系</w:t>
      </w:r>
    </w:p>
    <w:p w14:paraId="70B3A5DC">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风格特色</w:t>
      </w:r>
      <w:r>
        <w:rPr>
          <w:rFonts w:ascii="宋体" w:hAnsi="宋体" w:eastAsia="宋体" w:cs="宋体"/>
          <w:b w:val="0"/>
          <w:i w:val="0"/>
          <w:spacing w:val="0"/>
          <w:sz w:val="24"/>
        </w:rPr>
        <w:t>：融合东西方美学，发展出独特的"中式水草缸"风格</w:t>
      </w:r>
    </w:p>
    <w:p w14:paraId="0BFE9292">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赛事参与</w:t>
      </w:r>
      <w:r>
        <w:rPr>
          <w:rFonts w:ascii="宋体" w:hAnsi="宋体" w:eastAsia="宋体" w:cs="宋体"/>
          <w:b w:val="0"/>
          <w:i w:val="0"/>
          <w:spacing w:val="0"/>
          <w:sz w:val="24"/>
        </w:rPr>
        <w:t>：中国选手在国际赛事中表现亮眼，2025年IAPLC有8名中国选手入围前27名，其中一名获第二名</w:t>
      </w:r>
    </w:p>
    <w:p w14:paraId="76215DE6">
      <w:pPr>
        <w:pageBreakBefore w:val="0"/>
        <w:wordWrap/>
        <w:spacing w:before="160" w:after="0" w:line="360" w:lineRule="auto"/>
        <w:ind w:left="0" w:right="0"/>
        <w:jc w:val="left"/>
        <w:textAlignment w:val="auto"/>
        <w:rPr>
          <w:rFonts w:ascii="宋体" w:hAnsi="宋体" w:eastAsia="宋体" w:cs="宋体"/>
          <w:b/>
          <w:i w:val="0"/>
          <w:spacing w:val="0"/>
          <w:sz w:val="24"/>
        </w:rPr>
      </w:pPr>
    </w:p>
    <w:p w14:paraId="3AF5A01F">
      <w:pPr>
        <w:pageBreakBefore w:val="0"/>
        <w:wordWrap/>
        <w:spacing w:before="160" w:after="0" w:line="360" w:lineRule="auto"/>
        <w:ind w:left="0" w:right="0"/>
        <w:jc w:val="left"/>
        <w:textAlignment w:val="auto"/>
        <w:rPr>
          <w:sz w:val="24"/>
        </w:rPr>
      </w:pPr>
      <w:r>
        <w:rPr>
          <w:rFonts w:ascii="宋体" w:hAnsi="宋体" w:eastAsia="宋体" w:cs="宋体"/>
          <w:b/>
          <w:i w:val="0"/>
          <w:spacing w:val="0"/>
          <w:sz w:val="24"/>
        </w:rPr>
        <w:t>中国市场与国际市场的最大差异在于消费群体和应用场景</w:t>
      </w:r>
      <w:r>
        <w:rPr>
          <w:rFonts w:ascii="宋体" w:hAnsi="宋体" w:eastAsia="宋体" w:cs="宋体"/>
          <w:b w:val="0"/>
          <w:i w:val="0"/>
          <w:spacing w:val="0"/>
          <w:sz w:val="24"/>
        </w:rPr>
        <w:t>。国际市场以家庭和个人收藏为主，而中国市场则呈现"家庭为主、商业为辅、教育新兴"的多元化格局。此外，中国市场对智能水族设备的需求更为强烈，如自动换水、智能照明等系统在中国市场渗透率已达35%。</w:t>
      </w:r>
    </w:p>
    <w:p w14:paraId="40CC9D55">
      <w:pPr>
        <w:pageBreakBefore w:val="0"/>
        <w:wordWrap/>
        <w:spacing w:before="160" w:after="0"/>
        <w:ind w:left="0" w:right="0"/>
        <w:jc w:val="left"/>
        <w:textAlignment w:val="auto"/>
        <w:rPr>
          <w:sz w:val="28"/>
        </w:rPr>
      </w:pPr>
      <w:r>
        <w:rPr>
          <w:rFonts w:ascii="宋体" w:hAnsi="宋体" w:eastAsia="宋体" w:cs="宋体"/>
          <w:b/>
          <w:i w:val="0"/>
          <w:spacing w:val="0"/>
          <w:sz w:val="28"/>
        </w:rPr>
        <w:t>1.3 水族造景的重要性与价值</w:t>
      </w:r>
    </w:p>
    <w:p w14:paraId="44C4AB20">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水族造景不仅是一种艺术创作和休闲活动，更具有多方面的社会价值和经济价值：</w:t>
      </w:r>
    </w:p>
    <w:p w14:paraId="0F2C4F6B">
      <w:pPr>
        <w:pageBreakBefore w:val="0"/>
        <w:wordWrap/>
        <w:spacing w:before="160" w:after="0"/>
        <w:ind w:left="0" w:right="0"/>
        <w:jc w:val="left"/>
        <w:textAlignment w:val="auto"/>
        <w:rPr>
          <w:sz w:val="24"/>
        </w:rPr>
      </w:pPr>
      <w:r>
        <w:rPr>
          <w:rFonts w:ascii="宋体" w:hAnsi="宋体" w:eastAsia="宋体" w:cs="宋体"/>
          <w:b/>
          <w:i w:val="0"/>
          <w:spacing w:val="0"/>
          <w:sz w:val="24"/>
        </w:rPr>
        <w:t>1.3.1 生态价值</w:t>
      </w:r>
    </w:p>
    <w:p w14:paraId="0EAAEDB7">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水族造景通过模拟自然水体生态系统，实现了以下生态价值：</w:t>
      </w:r>
    </w:p>
    <w:p w14:paraId="4518AC0A">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水质净化</w:t>
      </w:r>
      <w:r>
        <w:rPr>
          <w:rFonts w:ascii="宋体" w:hAnsi="宋体" w:eastAsia="宋体" w:cs="宋体"/>
          <w:b w:val="0"/>
          <w:i w:val="0"/>
          <w:spacing w:val="0"/>
          <w:sz w:val="24"/>
        </w:rPr>
        <w:t>：水草通过光合作用吸收二氧化碳、释放氧气，同时吸收水中的氨、硝酸盐等有害物质，实现水质的自循环净化</w:t>
      </w:r>
    </w:p>
    <w:p w14:paraId="7456DFC2">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生物多样性</w:t>
      </w:r>
      <w:r>
        <w:rPr>
          <w:rFonts w:ascii="宋体" w:hAnsi="宋体" w:eastAsia="宋体" w:cs="宋体"/>
          <w:b w:val="0"/>
          <w:i w:val="0"/>
          <w:spacing w:val="0"/>
          <w:sz w:val="24"/>
        </w:rPr>
        <w:t>：为不同水生生物提供适宜的栖息环境，促进生物多样性</w:t>
      </w:r>
    </w:p>
    <w:p w14:paraId="1257D903">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微生态研究</w:t>
      </w:r>
      <w:r>
        <w:rPr>
          <w:rFonts w:ascii="宋体" w:hAnsi="宋体" w:eastAsia="宋体" w:cs="宋体"/>
          <w:b w:val="0"/>
          <w:i w:val="0"/>
          <w:spacing w:val="0"/>
          <w:sz w:val="24"/>
        </w:rPr>
        <w:t>：成为研究小型生态系统运行机制的实验平台，为环境保护和生态修复提供参考</w:t>
      </w:r>
    </w:p>
    <w:p w14:paraId="251D3EA8">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生态教育</w:t>
      </w:r>
      <w:r>
        <w:rPr>
          <w:rFonts w:ascii="宋体" w:hAnsi="宋体" w:eastAsia="宋体" w:cs="宋体"/>
          <w:b w:val="0"/>
          <w:i w:val="0"/>
          <w:spacing w:val="0"/>
          <w:sz w:val="24"/>
        </w:rPr>
        <w:t>：通过直观展示生态系统的运作，提高公众的生态环保意识</w:t>
      </w:r>
    </w:p>
    <w:p w14:paraId="26322AC6">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数据支持</w:t>
      </w:r>
      <w:r>
        <w:rPr>
          <w:rFonts w:ascii="宋体" w:hAnsi="宋体" w:eastAsia="宋体" w:cs="宋体"/>
          <w:b w:val="0"/>
          <w:i w:val="0"/>
          <w:spacing w:val="0"/>
          <w:sz w:val="24"/>
        </w:rPr>
        <w:t>：研究表明，一个100升的水族造景缸可吸收约0.5g CO₂/天，释放约0.35g O₂/天，具有一定的碳汇功能</w:t>
      </w:r>
    </w:p>
    <w:p w14:paraId="4C690403">
      <w:pPr>
        <w:pageBreakBefore w:val="0"/>
        <w:wordWrap/>
        <w:spacing w:before="160" w:after="0"/>
        <w:ind w:left="0" w:right="0"/>
        <w:jc w:val="left"/>
        <w:textAlignment w:val="auto"/>
        <w:rPr>
          <w:sz w:val="24"/>
        </w:rPr>
      </w:pPr>
      <w:r>
        <w:rPr>
          <w:rFonts w:ascii="宋体" w:hAnsi="宋体" w:eastAsia="宋体" w:cs="宋体"/>
          <w:b/>
          <w:i w:val="0"/>
          <w:spacing w:val="0"/>
          <w:sz w:val="24"/>
        </w:rPr>
        <w:t>1.3.2 美学价值</w:t>
      </w:r>
    </w:p>
    <w:p w14:paraId="6608AFA4">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水族造景的美学价值体现在多个方面：</w:t>
      </w:r>
    </w:p>
    <w:p w14:paraId="54288171">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艺术创作</w:t>
      </w:r>
      <w:r>
        <w:rPr>
          <w:rFonts w:ascii="宋体" w:hAnsi="宋体" w:eastAsia="宋体" w:cs="宋体"/>
          <w:b w:val="0"/>
          <w:i w:val="0"/>
          <w:spacing w:val="0"/>
          <w:sz w:val="24"/>
        </w:rPr>
        <w:t>：将水族箱作为画布，通过水草、沉木等素材进行艺术创作，形成独特的"水中画作"</w:t>
      </w:r>
    </w:p>
    <w:p w14:paraId="35020778">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空间美化</w:t>
      </w:r>
      <w:r>
        <w:rPr>
          <w:rFonts w:ascii="宋体" w:hAnsi="宋体" w:eastAsia="宋体" w:cs="宋体"/>
          <w:b w:val="0"/>
          <w:i w:val="0"/>
          <w:spacing w:val="0"/>
          <w:sz w:val="24"/>
        </w:rPr>
        <w:t>：作为家居和商业空间的装饰元素，提升环境品质和美观度</w:t>
      </w:r>
    </w:p>
    <w:p w14:paraId="4AF6D4C7">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设计创新</w:t>
      </w:r>
      <w:r>
        <w:rPr>
          <w:rFonts w:ascii="宋体" w:hAnsi="宋体" w:eastAsia="宋体" w:cs="宋体"/>
          <w:b w:val="0"/>
          <w:i w:val="0"/>
          <w:spacing w:val="0"/>
          <w:sz w:val="24"/>
        </w:rPr>
        <w:t>：融合现代设计元素和传统美学，创造新颖独特的水下景观</w:t>
      </w:r>
    </w:p>
    <w:p w14:paraId="78C76AC9">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视觉享受</w:t>
      </w:r>
      <w:r>
        <w:rPr>
          <w:rFonts w:ascii="宋体" w:hAnsi="宋体" w:eastAsia="宋体" w:cs="宋体"/>
          <w:b w:val="0"/>
          <w:i w:val="0"/>
          <w:spacing w:val="0"/>
          <w:sz w:val="24"/>
        </w:rPr>
        <w:t>：通过精心设计的水下景观，为人们提供视觉享受和精神放松</w:t>
      </w:r>
    </w:p>
    <w:p w14:paraId="0D4909BF">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收藏价值</w:t>
      </w:r>
      <w:r>
        <w:rPr>
          <w:rFonts w:ascii="宋体" w:hAnsi="宋体" w:eastAsia="宋体" w:cs="宋体"/>
          <w:b w:val="0"/>
          <w:i w:val="0"/>
          <w:spacing w:val="0"/>
          <w:sz w:val="24"/>
        </w:rPr>
        <w:t>：优秀的水族造景作品具有收藏和展示价值，成为水族爱好者的珍品</w:t>
      </w:r>
    </w:p>
    <w:p w14:paraId="440F3814">
      <w:pPr>
        <w:pageBreakBefore w:val="0"/>
        <w:wordWrap/>
        <w:spacing w:before="160" w:after="0"/>
        <w:ind w:left="0" w:right="0"/>
        <w:jc w:val="left"/>
        <w:textAlignment w:val="auto"/>
        <w:rPr>
          <w:sz w:val="24"/>
        </w:rPr>
      </w:pPr>
      <w:r>
        <w:rPr>
          <w:rFonts w:ascii="宋体" w:hAnsi="宋体" w:eastAsia="宋体" w:cs="宋体"/>
          <w:b/>
          <w:i w:val="0"/>
          <w:spacing w:val="0"/>
          <w:sz w:val="24"/>
        </w:rPr>
        <w:t>1.3.3 教育价值</w:t>
      </w:r>
    </w:p>
    <w:p w14:paraId="2B25C608">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水族造景在教育领域具有独特价值：</w:t>
      </w:r>
    </w:p>
    <w:p w14:paraId="55C5189A">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生物学教学</w:t>
      </w:r>
      <w:r>
        <w:rPr>
          <w:rFonts w:ascii="宋体" w:hAnsi="宋体" w:eastAsia="宋体" w:cs="宋体"/>
          <w:b w:val="0"/>
          <w:i w:val="0"/>
          <w:spacing w:val="0"/>
          <w:sz w:val="24"/>
        </w:rPr>
        <w:t>：直观展示水生生物的形态、行为和生态适应</w:t>
      </w:r>
    </w:p>
    <w:p w14:paraId="3DB6C0A3">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生态学原理</w:t>
      </w:r>
      <w:r>
        <w:rPr>
          <w:rFonts w:ascii="宋体" w:hAnsi="宋体" w:eastAsia="宋体" w:cs="宋体"/>
          <w:b w:val="0"/>
          <w:i w:val="0"/>
          <w:spacing w:val="0"/>
          <w:sz w:val="24"/>
        </w:rPr>
        <w:t>：演示氮循环、碳循环等生态学原理的实际运作</w:t>
      </w:r>
    </w:p>
    <w:p w14:paraId="1124D1E4">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环境科学</w:t>
      </w:r>
      <w:r>
        <w:rPr>
          <w:rFonts w:ascii="宋体" w:hAnsi="宋体" w:eastAsia="宋体" w:cs="宋体"/>
          <w:b w:val="0"/>
          <w:i w:val="0"/>
          <w:spacing w:val="0"/>
          <w:sz w:val="24"/>
        </w:rPr>
        <w:t>：通过水质管理、生态系统平衡等实践，传授环境科学知识</w:t>
      </w:r>
    </w:p>
    <w:p w14:paraId="5B7A58AE">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艺术与设计</w:t>
      </w:r>
      <w:r>
        <w:rPr>
          <w:rFonts w:ascii="宋体" w:hAnsi="宋体" w:eastAsia="宋体" w:cs="宋体"/>
          <w:b w:val="0"/>
          <w:i w:val="0"/>
          <w:spacing w:val="0"/>
          <w:sz w:val="24"/>
        </w:rPr>
        <w:t>：融合艺术与科学，培养跨学科思维和创造力</w:t>
      </w:r>
    </w:p>
    <w:p w14:paraId="5992DAF4">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实践教育</w:t>
      </w:r>
      <w:r>
        <w:rPr>
          <w:rFonts w:ascii="宋体" w:hAnsi="宋体" w:eastAsia="宋体" w:cs="宋体"/>
          <w:b w:val="0"/>
          <w:i w:val="0"/>
          <w:spacing w:val="0"/>
          <w:sz w:val="24"/>
        </w:rPr>
        <w:t>：通过亲自动手造景，培养耐心、细致和系统思维能力</w:t>
      </w:r>
    </w:p>
    <w:p w14:paraId="48619094">
      <w:pPr>
        <w:pageBreakBefore w:val="0"/>
        <w:wordWrap/>
        <w:spacing w:before="160" w:after="0"/>
        <w:ind w:left="0" w:right="0"/>
        <w:jc w:val="left"/>
        <w:textAlignment w:val="auto"/>
        <w:rPr>
          <w:sz w:val="24"/>
        </w:rPr>
      </w:pPr>
      <w:r>
        <w:rPr>
          <w:rFonts w:ascii="宋体" w:hAnsi="宋体" w:eastAsia="宋体" w:cs="宋体"/>
          <w:b/>
          <w:i w:val="0"/>
          <w:spacing w:val="0"/>
          <w:sz w:val="24"/>
        </w:rPr>
        <w:t>1.3.4 经济价值</w:t>
      </w:r>
    </w:p>
    <w:p w14:paraId="352E0703">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水族造景行业已形成完整的产业链，具有显著的经济价值：</w:t>
      </w:r>
    </w:p>
    <w:p w14:paraId="0BC94B11">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市场规模</w:t>
      </w:r>
      <w:r>
        <w:rPr>
          <w:rFonts w:ascii="宋体" w:hAnsi="宋体" w:eastAsia="宋体" w:cs="宋体"/>
          <w:b w:val="0"/>
          <w:i w:val="0"/>
          <w:spacing w:val="0"/>
          <w:sz w:val="24"/>
        </w:rPr>
        <w:t>：2025年中国水族造景市场规模约150亿元，年增长率达15%</w:t>
      </w:r>
    </w:p>
    <w:p w14:paraId="1E1B0104">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产业链结构</w:t>
      </w:r>
      <w:r>
        <w:rPr>
          <w:rFonts w:ascii="宋体" w:hAnsi="宋体" w:eastAsia="宋体" w:cs="宋体"/>
          <w:b w:val="0"/>
          <w:i w:val="0"/>
          <w:spacing w:val="0"/>
          <w:sz w:val="24"/>
        </w:rPr>
        <w:t>：上游为玻璃原片、工程塑料、LED芯片、水草种源等；中游为水族箱制造、过滤设备研发、活体繁殖、造景设计；下游为家庭消费、商业空间、公共场景</w:t>
      </w:r>
    </w:p>
    <w:p w14:paraId="383F4641">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行业集中度</w:t>
      </w:r>
      <w:r>
        <w:rPr>
          <w:rFonts w:ascii="宋体" w:hAnsi="宋体" w:eastAsia="宋体" w:cs="宋体"/>
          <w:b w:val="0"/>
          <w:i w:val="0"/>
          <w:spacing w:val="0"/>
          <w:sz w:val="24"/>
        </w:rPr>
        <w:t>：呈现"一超多强+大量中小厂商"格局，龙头企业如森森集团占据22%市场份额，技术型企业如博特（尼特利）占据15%</w:t>
      </w:r>
    </w:p>
    <w:p w14:paraId="587E7471">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消费群体</w:t>
      </w:r>
      <w:r>
        <w:rPr>
          <w:rFonts w:ascii="宋体" w:hAnsi="宋体" w:eastAsia="宋体" w:cs="宋体"/>
          <w:b w:val="0"/>
          <w:i w:val="0"/>
          <w:spacing w:val="0"/>
          <w:sz w:val="24"/>
        </w:rPr>
        <w:t>：25-40岁占比68%，其中25-30岁"Z世代"占比22%，增速最快</w:t>
      </w:r>
    </w:p>
    <w:p w14:paraId="5323B757">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产品结构</w:t>
      </w:r>
      <w:r>
        <w:rPr>
          <w:rFonts w:ascii="宋体" w:hAnsi="宋体" w:eastAsia="宋体" w:cs="宋体"/>
          <w:b w:val="0"/>
          <w:i w:val="0"/>
          <w:spacing w:val="0"/>
          <w:sz w:val="24"/>
        </w:rPr>
        <w:t>：按价格带分布，10-200元中低价位带占70%，高端智能设备增速显著</w:t>
      </w:r>
    </w:p>
    <w:p w14:paraId="1CD7FE1C">
      <w:pPr>
        <w:pageBreakBefore w:val="0"/>
        <w:wordWrap/>
        <w:spacing w:before="160" w:after="0" w:line="360" w:lineRule="auto"/>
        <w:ind w:left="0" w:right="0"/>
        <w:jc w:val="left"/>
        <w:textAlignment w:val="auto"/>
        <w:rPr>
          <w:sz w:val="24"/>
        </w:rPr>
      </w:pPr>
      <w:r>
        <w:rPr>
          <w:rFonts w:ascii="宋体" w:hAnsi="宋体" w:eastAsia="宋体" w:cs="宋体"/>
          <w:b w:val="0"/>
          <w:i w:val="0"/>
          <w:spacing w:val="0"/>
          <w:sz w:val="24"/>
        </w:rPr>
        <w:t>水族造景行业不仅创造经济价值，还带动了相关产业链的发展，如水草培育、观赏鱼繁殖、水族设备制造等，形成了一个完整的生态经济系统。</w:t>
      </w:r>
    </w:p>
    <w:p w14:paraId="7C8B0C68">
      <w:pPr>
        <w:pageBreakBefore w:val="0"/>
        <w:wordWrap/>
        <w:spacing w:before="160" w:after="0"/>
        <w:ind w:left="0" w:right="0"/>
        <w:jc w:val="left"/>
        <w:textAlignment w:val="auto"/>
        <w:rPr>
          <w:sz w:val="36"/>
        </w:rPr>
      </w:pPr>
      <w:r>
        <w:rPr>
          <w:rFonts w:ascii="宋体" w:hAnsi="宋体" w:eastAsia="宋体" w:cs="宋体"/>
          <w:b/>
          <w:i w:val="0"/>
          <w:spacing w:val="0"/>
          <w:sz w:val="36"/>
        </w:rPr>
        <w:t>2. 水族造景设计原理</w:t>
      </w:r>
    </w:p>
    <w:p w14:paraId="02A7D966">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水族造景设计原理是连接美学与生态的桥梁，通过科学的规划和精确的计算，实现景观的美观与生态的平衡。</w:t>
      </w:r>
      <w:r>
        <w:rPr>
          <w:rFonts w:ascii="宋体" w:hAnsi="宋体" w:eastAsia="宋体" w:cs="宋体"/>
          <w:b/>
          <w:i w:val="0"/>
          <w:spacing w:val="0"/>
          <w:sz w:val="24"/>
        </w:rPr>
        <w:t>水族造景设计需同时考虑美学设计原则、生态设计原则和功能性设计原则三大维度</w:t>
      </w:r>
      <w:r>
        <w:rPr>
          <w:rFonts w:ascii="宋体" w:hAnsi="宋体" w:eastAsia="宋体" w:cs="宋体"/>
          <w:b w:val="0"/>
          <w:i w:val="0"/>
          <w:spacing w:val="0"/>
          <w:sz w:val="24"/>
        </w:rPr>
        <w:t>，三者相互影响、相互制约，共同决定最终作品的质量和稳定性。</w:t>
      </w:r>
    </w:p>
    <w:p w14:paraId="31648F8D">
      <w:pPr>
        <w:pageBreakBefore w:val="0"/>
        <w:wordWrap/>
        <w:spacing w:before="160" w:after="0"/>
        <w:ind w:left="0" w:right="0"/>
        <w:jc w:val="left"/>
        <w:textAlignment w:val="auto"/>
        <w:rPr>
          <w:sz w:val="28"/>
        </w:rPr>
      </w:pPr>
      <w:r>
        <w:rPr>
          <w:rFonts w:ascii="宋体" w:hAnsi="宋体" w:eastAsia="宋体" w:cs="宋体"/>
          <w:b/>
          <w:i w:val="0"/>
          <w:spacing w:val="0"/>
          <w:sz w:val="28"/>
        </w:rPr>
        <w:t>2.1 美学设计原则</w:t>
      </w:r>
    </w:p>
    <w:p w14:paraId="72E106F3">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水族造景的美学设计原则借鉴了传统艺术和现代设计的理论，通过科学的布局和精心的搭配，创造具有视觉冲击力和艺术价值的水下景观。</w:t>
      </w:r>
    </w:p>
    <w:p w14:paraId="08FCEB23">
      <w:pPr>
        <w:pageBreakBefore w:val="0"/>
        <w:wordWrap/>
        <w:spacing w:before="160" w:after="0"/>
        <w:ind w:left="0" w:right="0"/>
        <w:jc w:val="left"/>
        <w:textAlignment w:val="auto"/>
        <w:rPr>
          <w:sz w:val="24"/>
        </w:rPr>
      </w:pPr>
      <w:r>
        <w:rPr>
          <w:rFonts w:ascii="宋体" w:hAnsi="宋体" w:eastAsia="宋体" w:cs="宋体"/>
          <w:b/>
          <w:i w:val="0"/>
          <w:spacing w:val="0"/>
          <w:sz w:val="24"/>
        </w:rPr>
        <w:t>2.1.1 布局与构图</w:t>
      </w:r>
    </w:p>
    <w:p w14:paraId="3164E752">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水族造景的布局与构图是决定作品视觉效果的关键因素，主要应用以下构图原理：</w:t>
      </w:r>
    </w:p>
    <w:p w14:paraId="344D0E16">
      <w:pPr>
        <w:pageBreakBefore w:val="0"/>
        <w:wordWrap/>
        <w:spacing w:before="160" w:after="0"/>
        <w:ind w:left="0" w:right="0"/>
        <w:jc w:val="left"/>
        <w:textAlignment w:val="auto"/>
        <w:rPr>
          <w:sz w:val="22"/>
          <w:szCs w:val="32"/>
        </w:rPr>
      </w:pPr>
      <w:r>
        <w:rPr>
          <w:rFonts w:hint="eastAsia" w:ascii="宋体" w:hAnsi="宋体" w:eastAsia="宋体" w:cs="宋体"/>
          <w:b/>
          <w:i w:val="0"/>
          <w:spacing w:val="0"/>
          <w:sz w:val="22"/>
          <w:szCs w:val="32"/>
          <w:lang w:val="en-US" w:eastAsia="zh-CN"/>
        </w:rPr>
        <w:t>①</w:t>
      </w:r>
      <w:r>
        <w:rPr>
          <w:rFonts w:ascii="宋体" w:hAnsi="宋体" w:eastAsia="宋体" w:cs="宋体"/>
          <w:b/>
          <w:i w:val="0"/>
          <w:spacing w:val="0"/>
          <w:sz w:val="22"/>
          <w:szCs w:val="32"/>
        </w:rPr>
        <w:t xml:space="preserve"> 黄金分割法则</w:t>
      </w:r>
    </w:p>
    <w:p w14:paraId="27E5862C">
      <w:pPr>
        <w:pageBreakBefore w:val="0"/>
        <w:wordWrap/>
        <w:spacing w:before="160" w:after="0"/>
        <w:ind w:left="0" w:right="0"/>
        <w:jc w:val="left"/>
        <w:textAlignment w:val="auto"/>
        <w:rPr>
          <w:sz w:val="24"/>
        </w:rPr>
      </w:pPr>
      <w:r>
        <w:rPr>
          <w:rFonts w:ascii="宋体" w:hAnsi="宋体" w:eastAsia="宋体" w:cs="宋体"/>
          <w:b w:val="0"/>
          <w:i w:val="0"/>
          <w:spacing w:val="0"/>
          <w:sz w:val="24"/>
        </w:rPr>
        <w:t>黄金分割（约1.618:1）是水族造景中最常用的构图原理之一，具体应用包括：</w:t>
      </w:r>
    </w:p>
    <w:p w14:paraId="45F46969">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焦点位置</w:t>
      </w:r>
      <w:r>
        <w:rPr>
          <w:rFonts w:ascii="宋体" w:hAnsi="宋体" w:eastAsia="宋体" w:cs="宋体"/>
          <w:b w:val="0"/>
          <w:i w:val="0"/>
          <w:spacing w:val="0"/>
          <w:sz w:val="24"/>
        </w:rPr>
        <w:t>：将视觉焦点设置在缸体长度的38%处（如90cm缸体，焦点位于约34.5cm处）</w:t>
      </w:r>
    </w:p>
    <w:p w14:paraId="396477EE">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层次比例</w:t>
      </w:r>
      <w:r>
        <w:rPr>
          <w:rFonts w:ascii="宋体" w:hAnsi="宋体" w:eastAsia="宋体" w:cs="宋体"/>
          <w:b w:val="0"/>
          <w:i w:val="0"/>
          <w:spacing w:val="0"/>
          <w:sz w:val="24"/>
        </w:rPr>
        <w:t>：前景、中景和后景的面积比例可遵循"2:3:1"或"1:2:1"原则，实现视觉平衡</w:t>
      </w:r>
    </w:p>
    <w:p w14:paraId="5E428B85">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趣味中心</w:t>
      </w:r>
      <w:r>
        <w:rPr>
          <w:rFonts w:ascii="宋体" w:hAnsi="宋体" w:eastAsia="宋体" w:cs="宋体"/>
          <w:b w:val="0"/>
          <w:i w:val="0"/>
          <w:spacing w:val="0"/>
          <w:sz w:val="24"/>
        </w:rPr>
        <w:t>：结合九宫格理论，将重要元素放置在九宫格的四个趣味中心点（四角的交叉点）</w:t>
      </w:r>
    </w:p>
    <w:p w14:paraId="40536B9B">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应用案例</w:t>
      </w:r>
      <w:r>
        <w:rPr>
          <w:rFonts w:ascii="宋体" w:hAnsi="宋体" w:eastAsia="宋体" w:cs="宋体"/>
          <w:b w:val="0"/>
          <w:i w:val="0"/>
          <w:spacing w:val="0"/>
          <w:sz w:val="24"/>
        </w:rPr>
        <w:t>：荷兰式造景中，阶梯式布局通常占缸体长度的60%，形成视觉上的"黄金比例分割"效果</w:t>
      </w:r>
    </w:p>
    <w:p w14:paraId="197DA2CA">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6D0600AC">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三角构图法</w:t>
      </w:r>
    </w:p>
    <w:p w14:paraId="1CBDEAE0">
      <w:pPr>
        <w:pageBreakBefore w:val="0"/>
        <w:wordWrap/>
        <w:spacing w:before="160" w:after="0"/>
        <w:ind w:left="0" w:right="0"/>
        <w:jc w:val="left"/>
        <w:textAlignment w:val="auto"/>
        <w:rPr>
          <w:sz w:val="24"/>
        </w:rPr>
      </w:pPr>
      <w:r>
        <w:rPr>
          <w:rFonts w:ascii="宋体" w:hAnsi="宋体" w:eastAsia="宋体" w:cs="宋体"/>
          <w:b w:val="0"/>
          <w:i w:val="0"/>
          <w:spacing w:val="0"/>
          <w:sz w:val="24"/>
        </w:rPr>
        <w:t>三角构图法通过形成稳定的三角形结构，增强景观的稳定感和层次感：</w:t>
      </w:r>
    </w:p>
    <w:p w14:paraId="3F973AD2">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结构稳定</w:t>
      </w:r>
      <w:r>
        <w:rPr>
          <w:rFonts w:ascii="宋体" w:hAnsi="宋体" w:eastAsia="宋体" w:cs="宋体"/>
          <w:b w:val="0"/>
          <w:i w:val="0"/>
          <w:spacing w:val="0"/>
          <w:sz w:val="24"/>
        </w:rPr>
        <w:t>：三角形是最稳定的几何结构，能有效分散视觉压力</w:t>
      </w:r>
    </w:p>
    <w:p w14:paraId="76499959">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层次分明</w:t>
      </w:r>
      <w:r>
        <w:rPr>
          <w:rFonts w:ascii="宋体" w:hAnsi="宋体" w:eastAsia="宋体" w:cs="宋体"/>
          <w:b w:val="0"/>
          <w:i w:val="0"/>
          <w:spacing w:val="0"/>
          <w:sz w:val="24"/>
        </w:rPr>
        <w:t>：通过不同大小和位置的三角形元素，形成视觉层次</w:t>
      </w:r>
    </w:p>
    <w:p w14:paraId="00CC2C01">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应用实例</w:t>
      </w:r>
      <w:r>
        <w:rPr>
          <w:rFonts w:ascii="宋体" w:hAnsi="宋体" w:eastAsia="宋体" w:cs="宋体"/>
          <w:b w:val="0"/>
          <w:i w:val="0"/>
          <w:spacing w:val="0"/>
          <w:sz w:val="24"/>
        </w:rPr>
        <w:t>：西班牙造景师Bernat Hosta的90cm缸作品，通过岩石堆叠形成层叠的三角结构，营造出层峦叠嶂的视觉效果</w:t>
      </w:r>
    </w:p>
    <w:p w14:paraId="2ADDB0ED">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7D539211">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③</w:t>
      </w:r>
      <w:r>
        <w:rPr>
          <w:rFonts w:ascii="宋体" w:hAnsi="宋体" w:eastAsia="宋体" w:cs="宋体"/>
          <w:b/>
          <w:i w:val="0"/>
          <w:spacing w:val="0"/>
          <w:sz w:val="24"/>
          <w:szCs w:val="36"/>
        </w:rPr>
        <w:t xml:space="preserve"> 透视与景深</w:t>
      </w:r>
    </w:p>
    <w:p w14:paraId="0E39A4BD">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水族造景通过模拟透视原理，创造深远的景深效果：</w:t>
      </w:r>
    </w:p>
    <w:p w14:paraId="7815D021">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近大远小</w:t>
      </w:r>
      <w:r>
        <w:rPr>
          <w:rFonts w:ascii="宋体" w:hAnsi="宋体" w:eastAsia="宋体" w:cs="宋体"/>
          <w:b w:val="0"/>
          <w:i w:val="0"/>
          <w:spacing w:val="0"/>
          <w:sz w:val="24"/>
        </w:rPr>
        <w:t>：前景元素较大且密集，后景元素较小且稀疏，模拟自然透视</w:t>
      </w:r>
    </w:p>
    <w:p w14:paraId="19D1174E">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倾斜布局</w:t>
      </w:r>
      <w:r>
        <w:rPr>
          <w:rFonts w:ascii="宋体" w:hAnsi="宋体" w:eastAsia="宋体" w:cs="宋体"/>
          <w:b w:val="0"/>
          <w:i w:val="0"/>
          <w:spacing w:val="0"/>
          <w:sz w:val="24"/>
        </w:rPr>
        <w:t>：通过底床前低后高的倾斜设计（约1-3cm/10cm长度），增强景深感</w:t>
      </w:r>
    </w:p>
    <w:p w14:paraId="45DC79FC">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光线运用</w:t>
      </w:r>
      <w:r>
        <w:rPr>
          <w:rFonts w:ascii="宋体" w:hAnsi="宋体" w:eastAsia="宋体" w:cs="宋体"/>
          <w:b w:val="0"/>
          <w:i w:val="0"/>
          <w:spacing w:val="0"/>
          <w:sz w:val="24"/>
        </w:rPr>
        <w:t>：利用灯光的强弱变化，增强视觉层次和景深效果</w:t>
      </w:r>
    </w:p>
    <w:p w14:paraId="59A1EC09">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透明材质</w:t>
      </w:r>
      <w:r>
        <w:rPr>
          <w:rFonts w:ascii="宋体" w:hAnsi="宋体" w:eastAsia="宋体" w:cs="宋体"/>
          <w:b w:val="0"/>
          <w:i w:val="0"/>
          <w:spacing w:val="0"/>
          <w:sz w:val="24"/>
        </w:rPr>
        <w:t>：使用透明亚克力或玻璃材质，确保光线穿透，展现三维立体感</w:t>
      </w:r>
    </w:p>
    <w:p w14:paraId="563CB9B7">
      <w:pPr>
        <w:pageBreakBefore w:val="0"/>
        <w:wordWrap/>
        <w:spacing w:before="160" w:after="0"/>
        <w:ind w:left="0" w:right="0"/>
        <w:jc w:val="left"/>
        <w:textAlignment w:val="auto"/>
        <w:rPr>
          <w:sz w:val="24"/>
        </w:rPr>
      </w:pPr>
      <w:r>
        <w:rPr>
          <w:rFonts w:ascii="宋体" w:hAnsi="宋体" w:eastAsia="宋体" w:cs="宋体"/>
          <w:b/>
          <w:i w:val="0"/>
          <w:spacing w:val="0"/>
          <w:sz w:val="24"/>
        </w:rPr>
        <w:t>2.1.2 色彩搭配与视觉层次</w:t>
      </w:r>
    </w:p>
    <w:p w14:paraId="1B275710">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水族造景的色彩搭配直接影响作品的视觉效果和艺术价值：</w:t>
      </w:r>
    </w:p>
    <w:p w14:paraId="4745CEDE">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色彩理论应用</w:t>
      </w:r>
    </w:p>
    <w:p w14:paraId="2A13C8C6">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互补色</w:t>
      </w:r>
      <w:r>
        <w:rPr>
          <w:rFonts w:ascii="宋体" w:hAnsi="宋体" w:eastAsia="宋体" w:cs="宋体"/>
          <w:b w:val="0"/>
          <w:i w:val="0"/>
          <w:spacing w:val="0"/>
          <w:sz w:val="24"/>
        </w:rPr>
        <w:t>：利用色轮上相对的颜色（如红与绿）形成视觉对比和冲击力</w:t>
      </w:r>
    </w:p>
    <w:p w14:paraId="6AF86E8F">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相近色</w:t>
      </w:r>
      <w:r>
        <w:rPr>
          <w:rFonts w:ascii="宋体" w:hAnsi="宋体" w:eastAsia="宋体" w:cs="宋体"/>
          <w:b w:val="0"/>
          <w:i w:val="0"/>
          <w:spacing w:val="0"/>
          <w:sz w:val="24"/>
        </w:rPr>
        <w:t>：使用色轮上相邻的颜色（如蓝与绿）创造和谐统一的视觉效果</w:t>
      </w:r>
    </w:p>
    <w:p w14:paraId="4A73E3C1">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单色系</w:t>
      </w:r>
      <w:r>
        <w:rPr>
          <w:rFonts w:ascii="宋体" w:hAnsi="宋体" w:eastAsia="宋体" w:cs="宋体"/>
          <w:b w:val="0"/>
          <w:i w:val="0"/>
          <w:spacing w:val="0"/>
          <w:sz w:val="24"/>
        </w:rPr>
        <w:t>：通过同一色系不同深浅的色彩（如深绿与浅绿）创造层次感</w:t>
      </w:r>
    </w:p>
    <w:p w14:paraId="1C7F8536">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色彩平衡</w:t>
      </w:r>
      <w:r>
        <w:rPr>
          <w:rFonts w:ascii="宋体" w:hAnsi="宋体" w:eastAsia="宋体" w:cs="宋体"/>
          <w:b w:val="0"/>
          <w:i w:val="0"/>
          <w:spacing w:val="0"/>
          <w:sz w:val="24"/>
        </w:rPr>
        <w:t>：在整体色彩中，通常遵循"60-30-10"原则：主色占60%，辅助色占30%，点缀色占10%</w:t>
      </w:r>
    </w:p>
    <w:p w14:paraId="1AD38305">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53FC756A">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材料色彩搭配</w:t>
      </w:r>
    </w:p>
    <w:p w14:paraId="32A4A63A">
      <w:pPr>
        <w:pageBreakBefore w:val="0"/>
        <w:wordWrap/>
        <w:spacing w:before="160" w:after="0"/>
        <w:ind w:left="0" w:right="0"/>
        <w:jc w:val="left"/>
        <w:textAlignment w:val="auto"/>
        <w:rPr>
          <w:sz w:val="24"/>
        </w:rPr>
      </w:pPr>
      <w:r>
        <w:rPr>
          <w:rFonts w:ascii="宋体" w:hAnsi="宋体" w:eastAsia="宋体" w:cs="宋体"/>
          <w:b w:val="0"/>
          <w:i w:val="0"/>
          <w:spacing w:val="0"/>
          <w:sz w:val="24"/>
        </w:rPr>
        <w:t>不同风格的水族造景在色彩搭配上有明显差异：</w:t>
      </w:r>
    </w:p>
    <w:p w14:paraId="2185B6D7">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荷兰式</w:t>
      </w:r>
      <w:r>
        <w:rPr>
          <w:rFonts w:ascii="宋体" w:hAnsi="宋体" w:eastAsia="宋体" w:cs="宋体"/>
          <w:b w:val="0"/>
          <w:i w:val="0"/>
          <w:spacing w:val="0"/>
          <w:sz w:val="24"/>
        </w:rPr>
        <w:t>：偏好鲜艳色彩，常用红、黄等明亮水草，搭配白色或浅色底床，形成色彩丰富的"水中花坛"</w:t>
      </w:r>
    </w:p>
    <w:p w14:paraId="6EA4B8DF">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日式</w:t>
      </w:r>
      <w:r>
        <w:rPr>
          <w:rFonts w:ascii="宋体" w:hAnsi="宋体" w:eastAsia="宋体" w:cs="宋体"/>
          <w:b w:val="0"/>
          <w:i w:val="0"/>
          <w:spacing w:val="0"/>
          <w:sz w:val="24"/>
        </w:rPr>
        <w:t>：偏好单色或相近色系，如深绿与浅绿的搭配，强调色彩的和谐统一</w:t>
      </w:r>
    </w:p>
    <w:p w14:paraId="234BB378">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ADA风格</w:t>
      </w:r>
      <w:r>
        <w:rPr>
          <w:rFonts w:ascii="宋体" w:hAnsi="宋体" w:eastAsia="宋体" w:cs="宋体"/>
          <w:b w:val="0"/>
          <w:i w:val="0"/>
          <w:spacing w:val="0"/>
          <w:sz w:val="24"/>
        </w:rPr>
        <w:t>：注重自然色彩的层次感，通过不同深浅的绿色、棕色等自然色调创造丰富的视觉层次</w:t>
      </w:r>
    </w:p>
    <w:p w14:paraId="5AFC925F">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生物适配</w:t>
      </w:r>
      <w:r>
        <w:rPr>
          <w:rFonts w:ascii="宋体" w:hAnsi="宋体" w:eastAsia="宋体" w:cs="宋体"/>
          <w:b w:val="0"/>
          <w:i w:val="0"/>
          <w:spacing w:val="0"/>
          <w:sz w:val="24"/>
        </w:rPr>
        <w:t>：色彩选择需与生物特性相匹配，如红叶水草搭配金色鱼只，增强整体协调性</w:t>
      </w:r>
    </w:p>
    <w:p w14:paraId="3B455A1D">
      <w:pPr>
        <w:pageBreakBefore w:val="0"/>
        <w:wordWrap/>
        <w:spacing w:before="160" w:after="0"/>
        <w:ind w:left="0" w:right="0"/>
        <w:jc w:val="left"/>
        <w:textAlignment w:val="auto"/>
        <w:rPr>
          <w:rFonts w:ascii="宋体" w:hAnsi="宋体" w:eastAsia="宋体" w:cs="宋体"/>
          <w:b/>
          <w:i w:val="0"/>
          <w:spacing w:val="0"/>
          <w:sz w:val="24"/>
        </w:rPr>
      </w:pPr>
    </w:p>
    <w:p w14:paraId="0114FBF7">
      <w:pPr>
        <w:pageBreakBefore w:val="0"/>
        <w:wordWrap/>
        <w:spacing w:before="160" w:after="0"/>
        <w:ind w:left="0" w:right="0"/>
        <w:jc w:val="left"/>
        <w:textAlignment w:val="auto"/>
        <w:rPr>
          <w:sz w:val="24"/>
        </w:rPr>
      </w:pPr>
      <w:r>
        <w:rPr>
          <w:rFonts w:ascii="宋体" w:hAnsi="宋体" w:eastAsia="宋体" w:cs="宋体"/>
          <w:b/>
          <w:i w:val="0"/>
          <w:spacing w:val="0"/>
          <w:sz w:val="24"/>
        </w:rPr>
        <w:t>2.1.3 材质与纹理的协调</w:t>
      </w:r>
    </w:p>
    <w:p w14:paraId="68CF24F2">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水族造景中，材料的质感和纹理协调是决定作品自然感的关键因素：</w:t>
      </w:r>
    </w:p>
    <w:p w14:paraId="3608367D">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材质选择原则</w:t>
      </w:r>
    </w:p>
    <w:p w14:paraId="774550E3">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统一性</w:t>
      </w:r>
      <w:r>
        <w:rPr>
          <w:rFonts w:ascii="宋体" w:hAnsi="宋体" w:eastAsia="宋体" w:cs="宋体"/>
          <w:b w:val="0"/>
          <w:i w:val="0"/>
          <w:spacing w:val="0"/>
          <w:sz w:val="24"/>
        </w:rPr>
        <w:t>：同一缸体中使用的石材、沉木等材质应保持一致或相近的质感</w:t>
      </w:r>
    </w:p>
    <w:p w14:paraId="3BEEE56C">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多样性</w:t>
      </w:r>
      <w:r>
        <w:rPr>
          <w:rFonts w:ascii="宋体" w:hAnsi="宋体" w:eastAsia="宋体" w:cs="宋体"/>
          <w:b w:val="0"/>
          <w:i w:val="0"/>
          <w:spacing w:val="0"/>
          <w:sz w:val="24"/>
        </w:rPr>
        <w:t>：不同材质之间可通过纹理、颜色等差异创造视觉变化</w:t>
      </w:r>
    </w:p>
    <w:p w14:paraId="510AC07A">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自然感</w:t>
      </w:r>
      <w:r>
        <w:rPr>
          <w:rFonts w:ascii="宋体" w:hAnsi="宋体" w:eastAsia="宋体" w:cs="宋体"/>
          <w:b w:val="0"/>
          <w:i w:val="0"/>
          <w:spacing w:val="0"/>
          <w:sz w:val="24"/>
        </w:rPr>
        <w:t>：优先选择天然材质，减少人工痕迹，增强自然感</w:t>
      </w:r>
    </w:p>
    <w:p w14:paraId="258F42BA">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搭配技巧</w:t>
      </w:r>
      <w:r>
        <w:rPr>
          <w:rFonts w:ascii="宋体" w:hAnsi="宋体" w:eastAsia="宋体" w:cs="宋体"/>
          <w:b w:val="0"/>
          <w:i w:val="0"/>
          <w:spacing w:val="0"/>
          <w:sz w:val="24"/>
        </w:rPr>
        <w:t>：如布兰奇木的分枝枝干与莫斯的柔软质感搭配，可形成鲜明对比和丰富层次</w:t>
      </w:r>
    </w:p>
    <w:p w14:paraId="7F80B0D5">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445282F2">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纹理协调应用</w:t>
      </w:r>
    </w:p>
    <w:p w14:paraId="74C25BE1">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石材纹理</w:t>
      </w:r>
      <w:r>
        <w:rPr>
          <w:rFonts w:ascii="宋体" w:hAnsi="宋体" w:eastAsia="宋体" w:cs="宋体"/>
          <w:b w:val="0"/>
          <w:i w:val="0"/>
          <w:spacing w:val="0"/>
          <w:sz w:val="24"/>
        </w:rPr>
        <w:t>：如溪石的黄土色与红褐色混合纹理，适合营造溪流峭壁效果</w:t>
      </w:r>
    </w:p>
    <w:p w14:paraId="5F2379DF">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沉木质感</w:t>
      </w:r>
      <w:r>
        <w:rPr>
          <w:rFonts w:ascii="宋体" w:hAnsi="宋体" w:eastAsia="宋体" w:cs="宋体"/>
          <w:b w:val="0"/>
          <w:i w:val="0"/>
          <w:spacing w:val="0"/>
          <w:sz w:val="24"/>
        </w:rPr>
        <w:t>：如阴木的黑褐色紧密质地与流木的褐色松散质地，创造不同的视觉效果</w:t>
      </w:r>
    </w:p>
    <w:p w14:paraId="75A4B3A1">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水草形态</w:t>
      </w:r>
      <w:r>
        <w:rPr>
          <w:rFonts w:ascii="宋体" w:hAnsi="宋体" w:eastAsia="宋体" w:cs="宋体"/>
          <w:b w:val="0"/>
          <w:i w:val="0"/>
          <w:spacing w:val="0"/>
          <w:sz w:val="24"/>
        </w:rPr>
        <w:t>：不同形态的水草（如细叶、宽叶、卷曲叶）与不同材质搭配，形成独特的景观风格</w:t>
      </w:r>
    </w:p>
    <w:p w14:paraId="02D7CBA7">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协调案例</w:t>
      </w:r>
      <w:r>
        <w:rPr>
          <w:rFonts w:ascii="宋体" w:hAnsi="宋体" w:eastAsia="宋体" w:cs="宋体"/>
          <w:b w:val="0"/>
          <w:i w:val="0"/>
          <w:spacing w:val="0"/>
          <w:sz w:val="24"/>
        </w:rPr>
        <w:t>：龙王石的寒色系清爽质感与水芹的细长叶片搭配，可营造出礁石岩壁的自然效果</w:t>
      </w:r>
    </w:p>
    <w:p w14:paraId="6D505220">
      <w:pPr>
        <w:pageBreakBefore w:val="0"/>
        <w:wordWrap/>
        <w:spacing w:before="160" w:after="0"/>
        <w:ind w:left="0" w:right="0"/>
        <w:jc w:val="left"/>
        <w:textAlignment w:val="auto"/>
        <w:rPr>
          <w:rFonts w:ascii="宋体" w:hAnsi="宋体" w:eastAsia="宋体" w:cs="宋体"/>
          <w:b/>
          <w:i w:val="0"/>
          <w:spacing w:val="0"/>
          <w:sz w:val="24"/>
        </w:rPr>
      </w:pPr>
    </w:p>
    <w:p w14:paraId="003730AE">
      <w:pPr>
        <w:pageBreakBefore w:val="0"/>
        <w:wordWrap/>
        <w:spacing w:before="160" w:after="0"/>
        <w:ind w:left="0" w:right="0"/>
        <w:jc w:val="left"/>
        <w:textAlignment w:val="auto"/>
        <w:rPr>
          <w:sz w:val="24"/>
        </w:rPr>
      </w:pPr>
      <w:r>
        <w:rPr>
          <w:rFonts w:ascii="宋体" w:hAnsi="宋体" w:eastAsia="宋体" w:cs="宋体"/>
          <w:b/>
          <w:i w:val="0"/>
          <w:spacing w:val="0"/>
          <w:sz w:val="24"/>
        </w:rPr>
        <w:t>2.1.4 比例与尺度控制</w:t>
      </w:r>
    </w:p>
    <w:p w14:paraId="234B0840">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水族造景中的比例与尺度控制决定了作品的整体协调性和视觉舒适度：</w:t>
      </w:r>
    </w:p>
    <w:p w14:paraId="0B68EEFC">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生物与造景比例</w:t>
      </w:r>
      <w:r>
        <w:rPr>
          <w:rFonts w:ascii="宋体" w:hAnsi="宋体" w:eastAsia="宋体" w:cs="宋体"/>
          <w:b w:val="0"/>
          <w:i w:val="0"/>
          <w:spacing w:val="0"/>
          <w:sz w:val="24"/>
        </w:rPr>
        <w:t>：通常遵循"生物占空间30%"的原则，避免生物过多破坏景观效果</w:t>
      </w:r>
    </w:p>
    <w:p w14:paraId="10F1BB78">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水草种植密度</w:t>
      </w:r>
      <w:r>
        <w:rPr>
          <w:rFonts w:ascii="宋体" w:hAnsi="宋体" w:eastAsia="宋体" w:cs="宋体"/>
          <w:b w:val="0"/>
          <w:i w:val="0"/>
          <w:spacing w:val="0"/>
          <w:sz w:val="24"/>
        </w:rPr>
        <w:t>：前景草每丛间距约5cm，中景草间距约8-10cm，后景草间距可适当放宽</w:t>
      </w:r>
    </w:p>
    <w:p w14:paraId="38992B12">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造景元素大小</w:t>
      </w:r>
      <w:r>
        <w:rPr>
          <w:rFonts w:ascii="宋体" w:hAnsi="宋体" w:eastAsia="宋体" w:cs="宋体"/>
          <w:b w:val="0"/>
          <w:i w:val="0"/>
          <w:spacing w:val="0"/>
          <w:sz w:val="24"/>
        </w:rPr>
        <w:t>：主要造景元素（如大型沉木、石材）应占缸体高度的2/3-3/4，次要元素适当缩小</w:t>
      </w:r>
    </w:p>
    <w:p w14:paraId="7F5B46F7">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比例协调</w:t>
      </w:r>
      <w:r>
        <w:rPr>
          <w:rFonts w:ascii="宋体" w:hAnsi="宋体" w:eastAsia="宋体" w:cs="宋体"/>
          <w:b w:val="0"/>
          <w:i w:val="0"/>
          <w:spacing w:val="0"/>
          <w:sz w:val="24"/>
        </w:rPr>
        <w:t>：不同元素之间应保持合理的比例关系，如大型沉木与小型水草的比例约为5:1</w:t>
      </w:r>
    </w:p>
    <w:p w14:paraId="5A4836D6">
      <w:pPr>
        <w:pageBreakBefore w:val="0"/>
        <w:wordWrap/>
        <w:spacing w:before="160" w:after="0"/>
        <w:ind w:left="0" w:right="0"/>
        <w:jc w:val="left"/>
        <w:textAlignment w:val="auto"/>
        <w:rPr>
          <w:rFonts w:ascii="宋体" w:hAnsi="宋体" w:eastAsia="宋体" w:cs="宋体"/>
          <w:b/>
          <w:i w:val="0"/>
          <w:spacing w:val="0"/>
          <w:sz w:val="28"/>
        </w:rPr>
      </w:pPr>
    </w:p>
    <w:p w14:paraId="1E174C15">
      <w:pPr>
        <w:pageBreakBefore w:val="0"/>
        <w:wordWrap/>
        <w:spacing w:before="160" w:after="0"/>
        <w:ind w:left="0" w:right="0"/>
        <w:jc w:val="left"/>
        <w:textAlignment w:val="auto"/>
        <w:rPr>
          <w:sz w:val="28"/>
        </w:rPr>
      </w:pPr>
      <w:r>
        <w:rPr>
          <w:rFonts w:ascii="宋体" w:hAnsi="宋体" w:eastAsia="宋体" w:cs="宋体"/>
          <w:b/>
          <w:i w:val="0"/>
          <w:spacing w:val="0"/>
          <w:sz w:val="28"/>
        </w:rPr>
        <w:t>2.2 生态设计原则</w:t>
      </w:r>
    </w:p>
    <w:p w14:paraId="1B393A8C">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水族造景的生态设计原则是确保系统长期稳定和健康运行的基础，通过科学的生态构建和精确的参数控制，实现水质的自循环净化和生物的和谐共存。</w:t>
      </w:r>
    </w:p>
    <w:p w14:paraId="361D68A7">
      <w:pPr>
        <w:pageBreakBefore w:val="0"/>
        <w:wordWrap/>
        <w:spacing w:before="160" w:after="0"/>
        <w:ind w:left="0" w:right="0"/>
        <w:jc w:val="left"/>
        <w:textAlignment w:val="auto"/>
        <w:rPr>
          <w:sz w:val="24"/>
        </w:rPr>
      </w:pPr>
      <w:r>
        <w:rPr>
          <w:rFonts w:ascii="宋体" w:hAnsi="宋体" w:eastAsia="宋体" w:cs="宋体"/>
          <w:b/>
          <w:i w:val="0"/>
          <w:spacing w:val="0"/>
          <w:sz w:val="24"/>
        </w:rPr>
        <w:t>2.2.1 生物共生系统构建</w:t>
      </w:r>
    </w:p>
    <w:p w14:paraId="72384E48">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水族造景的生态设计核心是构建稳定的生物共生系统：</w:t>
      </w:r>
    </w:p>
    <w:p w14:paraId="14BBA1EC">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生产者</w:t>
      </w:r>
      <w:r>
        <w:rPr>
          <w:rFonts w:ascii="宋体" w:hAnsi="宋体" w:eastAsia="宋体" w:cs="宋体"/>
          <w:b w:val="0"/>
          <w:i w:val="0"/>
          <w:spacing w:val="0"/>
          <w:sz w:val="24"/>
        </w:rPr>
        <w:t>：水草通过光合作用吸收二氧化碳、氮磷钾等养分，产生氧气</w:t>
      </w:r>
    </w:p>
    <w:p w14:paraId="0DFE68A6">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消费者</w:t>
      </w:r>
      <w:r>
        <w:rPr>
          <w:rFonts w:ascii="宋体" w:hAnsi="宋体" w:eastAsia="宋体" w:cs="宋体"/>
          <w:b w:val="0"/>
          <w:i w:val="0"/>
          <w:spacing w:val="0"/>
          <w:sz w:val="24"/>
        </w:rPr>
        <w:t>：鱼类、虾类等生物通过摄食和排泄，参与养分循环</w:t>
      </w:r>
    </w:p>
    <w:p w14:paraId="0DEAF134">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分解者</w:t>
      </w:r>
      <w:r>
        <w:rPr>
          <w:rFonts w:ascii="宋体" w:hAnsi="宋体" w:eastAsia="宋体" w:cs="宋体"/>
          <w:b w:val="0"/>
          <w:i w:val="0"/>
          <w:spacing w:val="0"/>
          <w:sz w:val="24"/>
        </w:rPr>
        <w:t>：硝化细菌、线虫、螺类等分解有机物，转化为水草可利用的形式</w:t>
      </w:r>
    </w:p>
    <w:p w14:paraId="09824853">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共生关系</w:t>
      </w:r>
      <w:r>
        <w:rPr>
          <w:rFonts w:ascii="宋体" w:hAnsi="宋体" w:eastAsia="宋体" w:cs="宋体"/>
          <w:b w:val="0"/>
          <w:i w:val="0"/>
          <w:spacing w:val="0"/>
          <w:sz w:val="24"/>
        </w:rPr>
        <w:t>：水草为生物提供氧气和庇护，生物为水草提供养分，形成闭环生态系统</w:t>
      </w:r>
    </w:p>
    <w:p w14:paraId="0F12E1EA">
      <w:pPr>
        <w:pageBreakBefore w:val="0"/>
        <w:wordWrap/>
        <w:spacing w:before="160" w:after="0"/>
        <w:ind w:left="0" w:right="0"/>
        <w:jc w:val="left"/>
        <w:textAlignment w:val="auto"/>
        <w:rPr>
          <w:sz w:val="24"/>
        </w:rPr>
      </w:pPr>
      <w:r>
        <w:rPr>
          <w:rFonts w:ascii="宋体" w:hAnsi="宋体" w:eastAsia="宋体" w:cs="宋体"/>
          <w:b w:val="0"/>
          <w:i w:val="0"/>
          <w:spacing w:val="0"/>
          <w:sz w:val="24"/>
        </w:rPr>
        <w:t>生物共生系统的设计需考虑生物负载量，通常遵循"1升水养1厘米鱼"的密度原则，避免过度饲养导致水质恶化。</w:t>
      </w:r>
    </w:p>
    <w:p w14:paraId="76759230">
      <w:pPr>
        <w:pageBreakBefore w:val="0"/>
        <w:wordWrap/>
        <w:spacing w:before="160" w:after="0"/>
        <w:ind w:left="0" w:right="0"/>
        <w:jc w:val="left"/>
        <w:textAlignment w:val="auto"/>
        <w:rPr>
          <w:rFonts w:ascii="宋体" w:hAnsi="宋体" w:eastAsia="宋体" w:cs="宋体"/>
          <w:b/>
          <w:i w:val="0"/>
          <w:spacing w:val="0"/>
          <w:sz w:val="24"/>
        </w:rPr>
      </w:pPr>
    </w:p>
    <w:p w14:paraId="2229C2A0">
      <w:pPr>
        <w:pageBreakBefore w:val="0"/>
        <w:wordWrap/>
        <w:spacing w:before="160" w:after="0"/>
        <w:ind w:left="0" w:right="0"/>
        <w:jc w:val="left"/>
        <w:textAlignment w:val="auto"/>
        <w:rPr>
          <w:sz w:val="24"/>
        </w:rPr>
      </w:pPr>
      <w:r>
        <w:rPr>
          <w:rFonts w:ascii="宋体" w:hAnsi="宋体" w:eastAsia="宋体" w:cs="宋体"/>
          <w:b/>
          <w:i w:val="0"/>
          <w:spacing w:val="0"/>
          <w:sz w:val="24"/>
        </w:rPr>
        <w:t>2.2.2 水质参数与生态平衡</w:t>
      </w:r>
    </w:p>
    <w:p w14:paraId="1944A792">
      <w:pPr>
        <w:pageBreakBefore w:val="0"/>
        <w:wordWrap/>
        <w:spacing w:before="160" w:after="0"/>
        <w:ind w:left="0" w:right="0"/>
        <w:jc w:val="left"/>
        <w:textAlignment w:val="auto"/>
        <w:rPr>
          <w:sz w:val="24"/>
        </w:rPr>
      </w:pPr>
      <w:r>
        <w:rPr>
          <w:rFonts w:ascii="宋体" w:hAnsi="宋体" w:eastAsia="宋体" w:cs="宋体"/>
          <w:b w:val="0"/>
          <w:i w:val="0"/>
          <w:spacing w:val="0"/>
          <w:sz w:val="24"/>
        </w:rPr>
        <w:t>水质参数是水族造景生态平衡的核心指标，需精确控制和管理：</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60"/>
        <w:gridCol w:w="2060"/>
        <w:gridCol w:w="2060"/>
        <w:gridCol w:w="2060"/>
      </w:tblGrid>
      <w:tr w14:paraId="5857E9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shd w:val="clear" w:color="auto" w:fill="EEEEEE"/>
          </w:tcPr>
          <w:p w14:paraId="6AF04C9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参数</w:t>
            </w:r>
          </w:p>
        </w:tc>
        <w:tc>
          <w:tcPr>
            <w:tcW w:w="2060" w:type="dxa"/>
            <w:shd w:val="clear" w:color="auto" w:fill="EEEEEE"/>
          </w:tcPr>
          <w:p w14:paraId="0EC3F21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理想范围</w:t>
            </w:r>
          </w:p>
        </w:tc>
        <w:tc>
          <w:tcPr>
            <w:tcW w:w="2060" w:type="dxa"/>
            <w:shd w:val="clear" w:color="auto" w:fill="EEEEEE"/>
          </w:tcPr>
          <w:p w14:paraId="4524336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测量频率</w:t>
            </w:r>
          </w:p>
        </w:tc>
        <w:tc>
          <w:tcPr>
            <w:tcW w:w="2060" w:type="dxa"/>
            <w:shd w:val="clear" w:color="auto" w:fill="EEEEEE"/>
          </w:tcPr>
          <w:p w14:paraId="6946FC8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控制方法</w:t>
            </w:r>
          </w:p>
        </w:tc>
      </w:tr>
      <w:tr w14:paraId="59CE52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51FA6F5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氨（NH₃）</w:t>
            </w:r>
          </w:p>
        </w:tc>
        <w:tc>
          <w:tcPr>
            <w:tcW w:w="2060" w:type="dxa"/>
          </w:tcPr>
          <w:p w14:paraId="54CDA97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&lt;0.02mg/L</w:t>
            </w:r>
          </w:p>
        </w:tc>
        <w:tc>
          <w:tcPr>
            <w:tcW w:w="2060" w:type="dxa"/>
          </w:tcPr>
          <w:p w14:paraId="7AC5EE7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2CF9603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通过硝化细菌分解，避免过度喂食</w:t>
            </w:r>
          </w:p>
        </w:tc>
      </w:tr>
      <w:tr w14:paraId="51326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04E91A3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硝酸盐（NO₃⁻）</w:t>
            </w:r>
          </w:p>
        </w:tc>
        <w:tc>
          <w:tcPr>
            <w:tcW w:w="2060" w:type="dxa"/>
          </w:tcPr>
          <w:p w14:paraId="3015657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5-10mg/L</w:t>
            </w:r>
          </w:p>
        </w:tc>
        <w:tc>
          <w:tcPr>
            <w:tcW w:w="2060" w:type="dxa"/>
          </w:tcPr>
          <w:p w14:paraId="02F2536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76BB309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通过换水、控制生物量和水草吸收</w:t>
            </w:r>
          </w:p>
        </w:tc>
      </w:tr>
      <w:tr w14:paraId="5470F5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589EAA5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磷酸盐（PO₄³⁻）</w:t>
            </w:r>
          </w:p>
        </w:tc>
        <w:tc>
          <w:tcPr>
            <w:tcW w:w="2060" w:type="dxa"/>
          </w:tcPr>
          <w:p w14:paraId="5AFEC8F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0.1-1mg/L</w:t>
            </w:r>
          </w:p>
        </w:tc>
        <w:tc>
          <w:tcPr>
            <w:tcW w:w="2060" w:type="dxa"/>
          </w:tcPr>
          <w:p w14:paraId="63D464BF">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每两周一次</w:t>
            </w:r>
          </w:p>
        </w:tc>
        <w:tc>
          <w:tcPr>
            <w:tcW w:w="2060" w:type="dxa"/>
          </w:tcPr>
          <w:p w14:paraId="4D857BB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通过活性炭过滤、控制喂食和添加液肥</w:t>
            </w:r>
          </w:p>
        </w:tc>
      </w:tr>
      <w:tr w14:paraId="2D7CFE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2C3095B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酸碱度（pH）</w:t>
            </w:r>
          </w:p>
        </w:tc>
        <w:tc>
          <w:tcPr>
            <w:tcW w:w="2060" w:type="dxa"/>
          </w:tcPr>
          <w:p w14:paraId="1671D47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6.5-7.5（因生物而异）</w:t>
            </w:r>
          </w:p>
        </w:tc>
        <w:tc>
          <w:tcPr>
            <w:tcW w:w="2060" w:type="dxa"/>
          </w:tcPr>
          <w:p w14:paraId="5E0CAEB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592ABFE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通过添加珊瑚砂、黑水或调整底床材料</w:t>
            </w:r>
          </w:p>
        </w:tc>
      </w:tr>
      <w:tr w14:paraId="06909E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5F8A71C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硬度（GH/KH）</w:t>
            </w:r>
          </w:p>
        </w:tc>
        <w:tc>
          <w:tcPr>
            <w:tcW w:w="2060" w:type="dxa"/>
          </w:tcPr>
          <w:p w14:paraId="2C722F6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GH 4-8°dH；KH 2-6°dH</w:t>
            </w:r>
          </w:p>
        </w:tc>
        <w:tc>
          <w:tcPr>
            <w:tcW w:w="2060" w:type="dxa"/>
          </w:tcPr>
          <w:p w14:paraId="19151F8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每月一次</w:t>
            </w:r>
          </w:p>
        </w:tc>
        <w:tc>
          <w:tcPr>
            <w:tcW w:w="2060" w:type="dxa"/>
          </w:tcPr>
          <w:p w14:paraId="03235E1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通过添加硝酸钙、麦饭石或软化水</w:t>
            </w:r>
          </w:p>
        </w:tc>
      </w:tr>
      <w:tr w14:paraId="5240CD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75097E9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溶解氧（DO）</w:t>
            </w:r>
          </w:p>
        </w:tc>
        <w:tc>
          <w:tcPr>
            <w:tcW w:w="2060" w:type="dxa"/>
          </w:tcPr>
          <w:p w14:paraId="31F3C06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&gt;7mg/L</w:t>
            </w:r>
          </w:p>
        </w:tc>
        <w:tc>
          <w:tcPr>
            <w:tcW w:w="2060" w:type="dxa"/>
          </w:tcPr>
          <w:p w14:paraId="0F22817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每日观察</w:t>
            </w:r>
          </w:p>
        </w:tc>
        <w:tc>
          <w:tcPr>
            <w:tcW w:w="2060" w:type="dxa"/>
          </w:tcPr>
          <w:p w14:paraId="404706E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通过增氧泵、气泵和水流设计</w:t>
            </w:r>
          </w:p>
        </w:tc>
      </w:tr>
      <w:tr w14:paraId="39810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1C07D1F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温度</w:t>
            </w:r>
          </w:p>
        </w:tc>
        <w:tc>
          <w:tcPr>
            <w:tcW w:w="2060" w:type="dxa"/>
          </w:tcPr>
          <w:p w14:paraId="1C95DF7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22-26℃</w:t>
            </w:r>
          </w:p>
        </w:tc>
        <w:tc>
          <w:tcPr>
            <w:tcW w:w="2060" w:type="dxa"/>
          </w:tcPr>
          <w:p w14:paraId="42FED3D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实时监测</w:t>
            </w:r>
          </w:p>
        </w:tc>
        <w:tc>
          <w:tcPr>
            <w:tcW w:w="2060" w:type="dxa"/>
          </w:tcPr>
          <w:p w14:paraId="20B1305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通过加热棒和温控系统</w:t>
            </w:r>
          </w:p>
        </w:tc>
      </w:tr>
    </w:tbl>
    <w:p w14:paraId="2F99FE38">
      <w:pPr>
        <w:pageBreakBefore w:val="0"/>
        <w:wordWrap/>
        <w:spacing w:before="160" w:after="0"/>
        <w:ind w:left="0" w:right="0"/>
        <w:jc w:val="left"/>
        <w:textAlignment w:val="auto"/>
        <w:rPr>
          <w:sz w:val="24"/>
        </w:rPr>
      </w:pPr>
      <w:r>
        <w:rPr>
          <w:rFonts w:ascii="宋体" w:hAnsi="宋体" w:eastAsia="宋体" w:cs="宋体"/>
          <w:b w:val="0"/>
          <w:i w:val="0"/>
          <w:spacing w:val="0"/>
          <w:sz w:val="24"/>
        </w:rPr>
        <w:t>水质参数的控制需要综合考虑生物需求和水草生长条件，通过定期检测和调整，维持系统的稳定运行。</w:t>
      </w:r>
    </w:p>
    <w:p w14:paraId="380DF8FA">
      <w:pPr>
        <w:pageBreakBefore w:val="0"/>
        <w:wordWrap/>
        <w:spacing w:before="160" w:after="0"/>
        <w:ind w:left="0" w:right="0"/>
        <w:jc w:val="left"/>
        <w:textAlignment w:val="auto"/>
        <w:rPr>
          <w:rFonts w:ascii="宋体" w:hAnsi="宋体" w:eastAsia="宋体" w:cs="宋体"/>
          <w:b/>
          <w:i w:val="0"/>
          <w:spacing w:val="0"/>
          <w:sz w:val="24"/>
        </w:rPr>
      </w:pPr>
    </w:p>
    <w:p w14:paraId="379C0AAC">
      <w:pPr>
        <w:pageBreakBefore w:val="0"/>
        <w:wordWrap/>
        <w:spacing w:before="160" w:after="0"/>
        <w:ind w:left="0" w:right="0"/>
        <w:jc w:val="left"/>
        <w:textAlignment w:val="auto"/>
        <w:rPr>
          <w:sz w:val="24"/>
        </w:rPr>
      </w:pPr>
      <w:r>
        <w:rPr>
          <w:rFonts w:ascii="宋体" w:hAnsi="宋体" w:eastAsia="宋体" w:cs="宋体"/>
          <w:b/>
          <w:i w:val="0"/>
          <w:spacing w:val="0"/>
          <w:sz w:val="24"/>
        </w:rPr>
        <w:t>2.2.3 植物与微生物的作用</w:t>
      </w:r>
    </w:p>
    <w:p w14:paraId="265D15D5">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水族造景中的植物和微生物是维持生态平衡的关键角色：</w:t>
      </w:r>
    </w:p>
    <w:p w14:paraId="5DC99016">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水草的生态功能</w:t>
      </w:r>
    </w:p>
    <w:p w14:paraId="78E98DF8">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光合作用</w:t>
      </w:r>
      <w:r>
        <w:rPr>
          <w:rFonts w:ascii="宋体" w:hAnsi="宋体" w:eastAsia="宋体" w:cs="宋体"/>
          <w:b w:val="0"/>
          <w:i w:val="0"/>
          <w:spacing w:val="0"/>
          <w:sz w:val="24"/>
        </w:rPr>
        <w:t>：吸收二氧化碳，释放氧气，改善水质</w:t>
      </w:r>
    </w:p>
    <w:p w14:paraId="7355956D">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养分吸收</w:t>
      </w:r>
      <w:r>
        <w:rPr>
          <w:rFonts w:ascii="宋体" w:hAnsi="宋体" w:eastAsia="宋体" w:cs="宋体"/>
          <w:b w:val="0"/>
          <w:i w:val="0"/>
          <w:spacing w:val="0"/>
          <w:sz w:val="24"/>
        </w:rPr>
        <w:t>：吸收水中的氨、硝酸盐、磷酸盐等有害物质，转化为自身生长所需的养分</w:t>
      </w:r>
    </w:p>
    <w:p w14:paraId="650AACB7">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栖息环境</w:t>
      </w:r>
      <w:r>
        <w:rPr>
          <w:rFonts w:ascii="宋体" w:hAnsi="宋体" w:eastAsia="宋体" w:cs="宋体"/>
          <w:b w:val="0"/>
          <w:i w:val="0"/>
          <w:spacing w:val="0"/>
          <w:sz w:val="24"/>
        </w:rPr>
        <w:t>：为鱼类、虾类等提供庇护和觅食场所</w:t>
      </w:r>
    </w:p>
    <w:p w14:paraId="5A2B9715">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微环境调节</w:t>
      </w:r>
      <w:r>
        <w:rPr>
          <w:rFonts w:ascii="宋体" w:hAnsi="宋体" w:eastAsia="宋体" w:cs="宋体"/>
          <w:b w:val="0"/>
          <w:i w:val="0"/>
          <w:spacing w:val="0"/>
          <w:sz w:val="24"/>
        </w:rPr>
        <w:t>：通过自身代谢调节局部水质和微环境</w:t>
      </w:r>
    </w:p>
    <w:p w14:paraId="09D7BF11">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3C5E93BB">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微生物的生态作用</w:t>
      </w:r>
    </w:p>
    <w:p w14:paraId="71F69AAC">
      <w:pPr>
        <w:pageBreakBefore w:val="0"/>
        <w:wordWrap/>
        <w:spacing w:before="160" w:after="0"/>
        <w:ind w:left="0" w:right="0"/>
        <w:jc w:val="left"/>
        <w:textAlignment w:val="auto"/>
        <w:rPr>
          <w:sz w:val="24"/>
        </w:rPr>
      </w:pPr>
      <w:r>
        <w:rPr>
          <w:rFonts w:ascii="宋体" w:hAnsi="宋体" w:eastAsia="宋体" w:cs="宋体"/>
          <w:b w:val="0"/>
          <w:i w:val="0"/>
          <w:spacing w:val="0"/>
          <w:sz w:val="24"/>
        </w:rPr>
        <w:t>硝化细菌是水族造景中最关键的微生物，负责将有毒的氨转化为相对安全的硝酸盐：</w:t>
      </w:r>
    </w:p>
    <w:p w14:paraId="46663134">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硝化过程</w:t>
      </w:r>
      <w:r>
        <w:rPr>
          <w:rFonts w:ascii="宋体" w:hAnsi="宋体" w:eastAsia="宋体" w:cs="宋体"/>
          <w:b w:val="0"/>
          <w:i w:val="0"/>
          <w:spacing w:val="0"/>
          <w:sz w:val="24"/>
        </w:rPr>
        <w:t>：氨（NH₃）→亚硝酸盐（NO₂⁻）→硝酸盐（NO₃⁻）</w:t>
      </w:r>
    </w:p>
    <w:p w14:paraId="74FE4042">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菌群建立</w:t>
      </w:r>
      <w:r>
        <w:rPr>
          <w:rFonts w:ascii="宋体" w:hAnsi="宋体" w:eastAsia="宋体" w:cs="宋体"/>
          <w:b w:val="0"/>
          <w:i w:val="0"/>
          <w:spacing w:val="0"/>
          <w:sz w:val="24"/>
        </w:rPr>
        <w:t>：通常需要10-14天形成稳定的生物膜，期间需避免使用杀菌剂</w:t>
      </w:r>
    </w:p>
    <w:p w14:paraId="220E7770">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环境要求</w:t>
      </w:r>
      <w:r>
        <w:rPr>
          <w:rFonts w:ascii="宋体" w:hAnsi="宋体" w:eastAsia="宋体" w:cs="宋体"/>
          <w:b w:val="0"/>
          <w:i w:val="0"/>
          <w:spacing w:val="0"/>
          <w:sz w:val="24"/>
        </w:rPr>
        <w:t>：硝化细菌最适温度20-30℃，pH 7.8-8.6，溶解氧需1-2mg/L</w:t>
      </w:r>
    </w:p>
    <w:p w14:paraId="768B921F">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维护方法</w:t>
      </w:r>
      <w:r>
        <w:rPr>
          <w:rFonts w:ascii="宋体" w:hAnsi="宋体" w:eastAsia="宋体" w:cs="宋体"/>
          <w:b w:val="0"/>
          <w:i w:val="0"/>
          <w:spacing w:val="0"/>
          <w:sz w:val="24"/>
        </w:rPr>
        <w:t>：保持稳定的环境条件，避免频繁换水，定期添加硝化细菌制剂</w:t>
      </w:r>
    </w:p>
    <w:p w14:paraId="0EB34EAC">
      <w:pPr>
        <w:pageBreakBefore w:val="0"/>
        <w:wordWrap/>
        <w:spacing w:before="160" w:after="0"/>
        <w:ind w:left="0" w:right="0"/>
        <w:jc w:val="left"/>
        <w:textAlignment w:val="auto"/>
        <w:rPr>
          <w:rFonts w:ascii="宋体" w:hAnsi="宋体" w:eastAsia="宋体" w:cs="宋体"/>
          <w:b/>
          <w:i w:val="0"/>
          <w:spacing w:val="0"/>
          <w:sz w:val="24"/>
        </w:rPr>
      </w:pPr>
    </w:p>
    <w:p w14:paraId="2F55FF9A">
      <w:pPr>
        <w:pageBreakBefore w:val="0"/>
        <w:wordWrap/>
        <w:spacing w:before="160" w:after="0"/>
        <w:ind w:left="0" w:right="0"/>
        <w:jc w:val="left"/>
        <w:textAlignment w:val="auto"/>
        <w:rPr>
          <w:sz w:val="24"/>
        </w:rPr>
      </w:pPr>
      <w:r>
        <w:rPr>
          <w:rFonts w:ascii="宋体" w:hAnsi="宋体" w:eastAsia="宋体" w:cs="宋体"/>
          <w:b/>
          <w:i w:val="0"/>
          <w:spacing w:val="0"/>
          <w:sz w:val="24"/>
        </w:rPr>
        <w:t>2.2.4 鱼类与其他生物的选择与适配</w:t>
      </w:r>
    </w:p>
    <w:p w14:paraId="74408692">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水族造景中的生物选择需与景观风格和生态条件相适配：</w:t>
      </w:r>
    </w:p>
    <w:p w14:paraId="40CC3F0C">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风格适配</w:t>
      </w:r>
      <w:r>
        <w:rPr>
          <w:rFonts w:ascii="宋体" w:hAnsi="宋体" w:eastAsia="宋体" w:cs="宋体"/>
          <w:b w:val="0"/>
          <w:i w:val="0"/>
          <w:spacing w:val="0"/>
          <w:sz w:val="24"/>
        </w:rPr>
        <w:t>：荷兰式缸多养孔雀鱼、灯科鱼；ADA风格缸多养小型慈鲷、地图鱼</w:t>
      </w:r>
    </w:p>
    <w:p w14:paraId="22B498BA">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功能适配</w:t>
      </w:r>
      <w:r>
        <w:rPr>
          <w:rFonts w:ascii="宋体" w:hAnsi="宋体" w:eastAsia="宋体" w:cs="宋体"/>
          <w:b w:val="0"/>
          <w:i w:val="0"/>
          <w:spacing w:val="0"/>
          <w:sz w:val="24"/>
        </w:rPr>
        <w:t>：工具鱼虾的选择需考虑其功能，如黑壳虾（除藻）、螺类（清理残饵）</w:t>
      </w:r>
    </w:p>
    <w:p w14:paraId="60B30816">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生物密度</w:t>
      </w:r>
      <w:r>
        <w:rPr>
          <w:rFonts w:ascii="宋体" w:hAnsi="宋体" w:eastAsia="宋体" w:cs="宋体"/>
          <w:b w:val="0"/>
          <w:i w:val="0"/>
          <w:spacing w:val="0"/>
          <w:sz w:val="24"/>
        </w:rPr>
        <w:t>：遵循"1升水养1厘米鱼"的密度原则，避免过度饲养</w:t>
      </w:r>
    </w:p>
    <w:p w14:paraId="48E19D86">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引入顺序</w:t>
      </w:r>
      <w:r>
        <w:rPr>
          <w:rFonts w:ascii="宋体" w:hAnsi="宋体" w:eastAsia="宋体" w:cs="宋体"/>
          <w:b w:val="0"/>
          <w:i w:val="0"/>
          <w:spacing w:val="0"/>
          <w:sz w:val="24"/>
        </w:rPr>
        <w:t>：通常遵循"螺类→虾类→鱼类"的顺序，先建立微生物群落再引入鱼类</w:t>
      </w:r>
    </w:p>
    <w:p w14:paraId="462F43AB">
      <w:pPr>
        <w:pageBreakBefore w:val="0"/>
        <w:wordWrap/>
        <w:spacing w:before="160" w:after="0"/>
        <w:ind w:left="0" w:right="0"/>
        <w:jc w:val="left"/>
        <w:textAlignment w:val="auto"/>
        <w:rPr>
          <w:sz w:val="24"/>
        </w:rPr>
      </w:pPr>
      <w:r>
        <w:rPr>
          <w:rFonts w:ascii="宋体" w:hAnsi="宋体" w:eastAsia="宋体" w:cs="宋体"/>
          <w:b/>
          <w:i w:val="0"/>
          <w:spacing w:val="0"/>
          <w:sz w:val="24"/>
        </w:rPr>
        <w:t>生物选择是水族造景中最具挑战性也最能体现设计者水平的部分</w:t>
      </w:r>
      <w:r>
        <w:rPr>
          <w:rFonts w:ascii="宋体" w:hAnsi="宋体" w:eastAsia="宋体" w:cs="宋体"/>
          <w:b w:val="0"/>
          <w:i w:val="0"/>
          <w:spacing w:val="0"/>
          <w:sz w:val="24"/>
        </w:rPr>
        <w:t>，需在美观与功能之间找到平衡，确保生物能与景观和谐共存。</w:t>
      </w:r>
    </w:p>
    <w:p w14:paraId="5D1A66E8">
      <w:pPr>
        <w:pageBreakBefore w:val="0"/>
        <w:wordWrap/>
        <w:spacing w:before="160" w:after="0"/>
        <w:ind w:left="0" w:right="0"/>
        <w:jc w:val="left"/>
        <w:textAlignment w:val="auto"/>
        <w:rPr>
          <w:rFonts w:ascii="宋体" w:hAnsi="宋体" w:eastAsia="宋体" w:cs="宋体"/>
          <w:b/>
          <w:i w:val="0"/>
          <w:spacing w:val="0"/>
          <w:sz w:val="28"/>
        </w:rPr>
      </w:pPr>
    </w:p>
    <w:p w14:paraId="6FCBBE7A">
      <w:pPr>
        <w:pageBreakBefore w:val="0"/>
        <w:wordWrap/>
        <w:spacing w:before="160" w:after="0"/>
        <w:ind w:left="0" w:right="0"/>
        <w:jc w:val="left"/>
        <w:textAlignment w:val="auto"/>
        <w:rPr>
          <w:sz w:val="28"/>
        </w:rPr>
      </w:pPr>
      <w:r>
        <w:rPr>
          <w:rFonts w:ascii="宋体" w:hAnsi="宋体" w:eastAsia="宋体" w:cs="宋体"/>
          <w:b/>
          <w:i w:val="0"/>
          <w:spacing w:val="0"/>
          <w:sz w:val="28"/>
        </w:rPr>
        <w:t>2.3 功能性设计</w:t>
      </w:r>
    </w:p>
    <w:p w14:paraId="1FF63836">
      <w:pPr>
        <w:pageBreakBefore w:val="0"/>
        <w:wordWrap/>
        <w:spacing w:before="160" w:after="0"/>
        <w:ind w:left="0" w:right="0"/>
        <w:jc w:val="left"/>
        <w:textAlignment w:val="auto"/>
        <w:rPr>
          <w:sz w:val="24"/>
        </w:rPr>
      </w:pPr>
      <w:r>
        <w:rPr>
          <w:rFonts w:ascii="宋体" w:hAnsi="宋体" w:eastAsia="宋体" w:cs="宋体"/>
          <w:b w:val="0"/>
          <w:i w:val="0"/>
          <w:spacing w:val="0"/>
          <w:sz w:val="24"/>
        </w:rPr>
        <w:t>功能性设计是水族造景中常被忽视却至关重要的部分，它决定了系统的实用性、稳定性和维护便利性。</w:t>
      </w:r>
    </w:p>
    <w:p w14:paraId="2C147AB9">
      <w:pPr>
        <w:pageBreakBefore w:val="0"/>
        <w:wordWrap/>
        <w:spacing w:before="160" w:after="0"/>
        <w:ind w:left="0" w:right="0"/>
        <w:jc w:val="left"/>
        <w:textAlignment w:val="auto"/>
        <w:rPr>
          <w:sz w:val="24"/>
        </w:rPr>
      </w:pPr>
      <w:r>
        <w:rPr>
          <w:rFonts w:ascii="宋体" w:hAnsi="宋体" w:eastAsia="宋体" w:cs="宋体"/>
          <w:b/>
          <w:i w:val="0"/>
          <w:spacing w:val="0"/>
          <w:sz w:val="24"/>
        </w:rPr>
        <w:t>2.3.1 设备布局与隐藏技巧</w:t>
      </w:r>
    </w:p>
    <w:p w14:paraId="1B5DE546">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水族造景的设备布局需兼顾功能性与美观性，隐藏技巧包括：</w:t>
      </w:r>
    </w:p>
    <w:p w14:paraId="0D9C0C6D">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过滤系统</w:t>
      </w:r>
      <w:r>
        <w:rPr>
          <w:rFonts w:ascii="宋体" w:hAnsi="宋体" w:eastAsia="宋体" w:cs="宋体"/>
          <w:b w:val="0"/>
          <w:i w:val="0"/>
          <w:spacing w:val="0"/>
          <w:sz w:val="24"/>
        </w:rPr>
        <w:t>：外挂桶过滤器可隐藏于缸体后方或侧方，避免破坏整体视觉效果</w:t>
      </w:r>
    </w:p>
    <w:p w14:paraId="059EB235">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灯光系统</w:t>
      </w:r>
      <w:r>
        <w:rPr>
          <w:rFonts w:ascii="宋体" w:hAnsi="宋体" w:eastAsia="宋体" w:cs="宋体"/>
          <w:b w:val="0"/>
          <w:i w:val="0"/>
          <w:spacing w:val="0"/>
          <w:sz w:val="24"/>
        </w:rPr>
        <w:t>：LED灯可嵌入缸体顶部或边缘，避免外露；灯架可设计成景观的一部分</w:t>
      </w:r>
    </w:p>
    <w:p w14:paraId="36887907">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CO₂系统</w:t>
      </w:r>
      <w:r>
        <w:rPr>
          <w:rFonts w:ascii="宋体" w:hAnsi="宋体" w:eastAsia="宋体" w:cs="宋体"/>
          <w:b w:val="0"/>
          <w:i w:val="0"/>
          <w:spacing w:val="0"/>
          <w:sz w:val="24"/>
        </w:rPr>
        <w:t>：CO₂扩散器可隐藏于缸底或背景板后方，减少视觉干扰</w:t>
      </w:r>
    </w:p>
    <w:p w14:paraId="1B2FFBA3">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加热棒</w:t>
      </w:r>
      <w:r>
        <w:rPr>
          <w:rFonts w:ascii="宋体" w:hAnsi="宋体" w:eastAsia="宋体" w:cs="宋体"/>
          <w:b w:val="0"/>
          <w:i w:val="0"/>
          <w:spacing w:val="0"/>
          <w:sz w:val="24"/>
        </w:rPr>
        <w:t>：可垂直放置于缸底角落，或使用加热棒支架将其固定在隐蔽位置</w:t>
      </w:r>
    </w:p>
    <w:p w14:paraId="69168B56">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智能系统</w:t>
      </w:r>
      <w:r>
        <w:rPr>
          <w:rFonts w:ascii="宋体" w:hAnsi="宋体" w:eastAsia="宋体" w:cs="宋体"/>
          <w:b w:val="0"/>
          <w:i w:val="0"/>
          <w:spacing w:val="0"/>
          <w:sz w:val="24"/>
        </w:rPr>
        <w:t>：控制线路可隐藏于缸体背部或底座内，通过无线通信实现远程控制</w:t>
      </w:r>
    </w:p>
    <w:p w14:paraId="135C8DA0">
      <w:pPr>
        <w:pageBreakBefore w:val="0"/>
        <w:wordWrap/>
        <w:spacing w:before="160" w:after="0" w:line="360" w:lineRule="auto"/>
        <w:ind w:left="0" w:right="0"/>
        <w:jc w:val="left"/>
        <w:textAlignment w:val="auto"/>
        <w:rPr>
          <w:sz w:val="24"/>
        </w:rPr>
      </w:pPr>
      <w:r>
        <w:rPr>
          <w:rFonts w:ascii="宋体" w:hAnsi="宋体" w:eastAsia="宋体" w:cs="宋体"/>
          <w:b w:val="0"/>
          <w:i w:val="0"/>
          <w:spacing w:val="0"/>
          <w:sz w:val="24"/>
        </w:rPr>
        <w:t>设备布局需遵循"功能优先、美观其次"的原则，确保系统稳定运行的同时，不影响整体景观效果。</w:t>
      </w:r>
    </w:p>
    <w:p w14:paraId="4AAEDF92">
      <w:pPr>
        <w:pageBreakBefore w:val="0"/>
        <w:wordWrap/>
        <w:spacing w:before="160" w:after="0"/>
        <w:ind w:left="0" w:right="0"/>
        <w:jc w:val="left"/>
        <w:textAlignment w:val="auto"/>
        <w:rPr>
          <w:rFonts w:ascii="宋体" w:hAnsi="宋体" w:eastAsia="宋体" w:cs="宋体"/>
          <w:b/>
          <w:i w:val="0"/>
          <w:spacing w:val="0"/>
          <w:sz w:val="24"/>
        </w:rPr>
      </w:pPr>
    </w:p>
    <w:p w14:paraId="1A4608E7">
      <w:pPr>
        <w:pageBreakBefore w:val="0"/>
        <w:wordWrap/>
        <w:spacing w:before="160" w:after="0"/>
        <w:ind w:left="0" w:right="0"/>
        <w:jc w:val="left"/>
        <w:textAlignment w:val="auto"/>
        <w:rPr>
          <w:sz w:val="24"/>
        </w:rPr>
      </w:pPr>
      <w:r>
        <w:rPr>
          <w:rFonts w:ascii="宋体" w:hAnsi="宋体" w:eastAsia="宋体" w:cs="宋体"/>
          <w:b/>
          <w:i w:val="0"/>
          <w:spacing w:val="0"/>
          <w:sz w:val="24"/>
        </w:rPr>
        <w:t>2.3.2 维护便利性设计</w:t>
      </w:r>
    </w:p>
    <w:p w14:paraId="25B9B179">
      <w:pPr>
        <w:pageBreakBefore w:val="0"/>
        <w:wordWrap/>
        <w:spacing w:before="160" w:after="0"/>
        <w:ind w:left="0" w:right="0"/>
        <w:jc w:val="left"/>
        <w:textAlignment w:val="auto"/>
        <w:rPr>
          <w:sz w:val="24"/>
        </w:rPr>
      </w:pPr>
      <w:r>
        <w:rPr>
          <w:rFonts w:ascii="宋体" w:hAnsi="宋体" w:eastAsia="宋体" w:cs="宋体"/>
          <w:b w:val="0"/>
          <w:i w:val="0"/>
          <w:spacing w:val="0"/>
          <w:sz w:val="24"/>
        </w:rPr>
        <w:t>维护便利性设计决定了水族造景的长期稳定性，主要考虑以下方面：</w:t>
      </w:r>
    </w:p>
    <w:p w14:paraId="1B01FF95">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底床设计</w:t>
      </w:r>
      <w:r>
        <w:rPr>
          <w:rFonts w:ascii="宋体" w:hAnsi="宋体" w:eastAsia="宋体" w:cs="宋体"/>
          <w:b w:val="0"/>
          <w:i w:val="0"/>
          <w:spacing w:val="0"/>
          <w:sz w:val="24"/>
        </w:rPr>
        <w:t>：底床前低后高设计不仅增强景深，还便于前景水草修剪和底砂清理</w:t>
      </w:r>
    </w:p>
    <w:p w14:paraId="2DE764F9">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种植密度</w:t>
      </w:r>
      <w:r>
        <w:rPr>
          <w:rFonts w:ascii="宋体" w:hAnsi="宋体" w:eastAsia="宋体" w:cs="宋体"/>
          <w:b w:val="0"/>
          <w:i w:val="0"/>
          <w:spacing w:val="0"/>
          <w:sz w:val="24"/>
        </w:rPr>
        <w:t>：前景草种植密度高但间距适中（约5cm），便于修剪且不影响美观</w:t>
      </w:r>
    </w:p>
    <w:p w14:paraId="06ED21C0">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设备可及性</w:t>
      </w:r>
      <w:r>
        <w:rPr>
          <w:rFonts w:ascii="宋体" w:hAnsi="宋体" w:eastAsia="宋体" w:cs="宋体"/>
          <w:b w:val="0"/>
          <w:i w:val="0"/>
          <w:spacing w:val="0"/>
          <w:sz w:val="24"/>
        </w:rPr>
        <w:t>：关键设备（如过滤器、加热棒）应设计在易于维护的位置</w:t>
      </w:r>
    </w:p>
    <w:p w14:paraId="166DB590">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观察便利性</w:t>
      </w:r>
      <w:r>
        <w:rPr>
          <w:rFonts w:ascii="宋体" w:hAnsi="宋体" w:eastAsia="宋体" w:cs="宋体"/>
          <w:b w:val="0"/>
          <w:i w:val="0"/>
          <w:spacing w:val="0"/>
          <w:sz w:val="24"/>
        </w:rPr>
        <w:t>：缸体高度应考虑操作者身高，通常不超过1.3m，便于观察和维护</w:t>
      </w:r>
    </w:p>
    <w:p w14:paraId="14B124EE">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分区设计</w:t>
      </w:r>
      <w:r>
        <w:rPr>
          <w:rFonts w:ascii="宋体" w:hAnsi="宋体" w:eastAsia="宋体" w:cs="宋体"/>
          <w:b w:val="0"/>
          <w:i w:val="0"/>
          <w:spacing w:val="0"/>
          <w:sz w:val="24"/>
        </w:rPr>
        <w:t>：大型缸可采用分区设计，便于局部维护而不影响整体景观</w:t>
      </w:r>
    </w:p>
    <w:p w14:paraId="0C7F458D">
      <w:pPr>
        <w:pageBreakBefore w:val="0"/>
        <w:wordWrap/>
        <w:spacing w:before="160" w:after="0"/>
        <w:ind w:left="0" w:right="0"/>
        <w:jc w:val="left"/>
        <w:textAlignment w:val="auto"/>
        <w:rPr>
          <w:sz w:val="24"/>
        </w:rPr>
      </w:pPr>
      <w:r>
        <w:rPr>
          <w:rFonts w:ascii="宋体" w:hAnsi="宋体" w:eastAsia="宋体" w:cs="宋体"/>
          <w:b w:val="0"/>
          <w:i w:val="0"/>
          <w:spacing w:val="0"/>
          <w:sz w:val="24"/>
        </w:rPr>
        <w:t>维护便利性设计是水族造景中"隐性设计"的重要体现，它不直接影响视觉效果，却决定了景观的长期稳定和美观。</w:t>
      </w:r>
    </w:p>
    <w:p w14:paraId="19C67C70">
      <w:pPr>
        <w:pageBreakBefore w:val="0"/>
        <w:wordWrap/>
        <w:spacing w:before="160" w:after="0"/>
        <w:ind w:left="0" w:right="0"/>
        <w:jc w:val="left"/>
        <w:textAlignment w:val="auto"/>
        <w:rPr>
          <w:rFonts w:ascii="宋体" w:hAnsi="宋体" w:eastAsia="宋体" w:cs="宋体"/>
          <w:b/>
          <w:i w:val="0"/>
          <w:spacing w:val="0"/>
          <w:sz w:val="24"/>
        </w:rPr>
      </w:pPr>
    </w:p>
    <w:p w14:paraId="3229B448">
      <w:pPr>
        <w:pageBreakBefore w:val="0"/>
        <w:wordWrap/>
        <w:spacing w:before="160" w:after="0"/>
        <w:ind w:left="0" w:right="0"/>
        <w:jc w:val="left"/>
        <w:textAlignment w:val="auto"/>
        <w:rPr>
          <w:sz w:val="24"/>
          <w:szCs w:val="24"/>
        </w:rPr>
      </w:pPr>
      <w:r>
        <w:rPr>
          <w:rFonts w:ascii="宋体" w:hAnsi="宋体" w:eastAsia="宋体" w:cs="宋体"/>
          <w:b/>
          <w:i w:val="0"/>
          <w:spacing w:val="0"/>
          <w:sz w:val="24"/>
          <w:szCs w:val="24"/>
        </w:rPr>
        <w:t>2.3.3 安全性考虑</w:t>
      </w:r>
    </w:p>
    <w:p w14:paraId="1619DE78">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水族造景的安全性考虑包括电气安全和结构稳定性两个方面：</w:t>
      </w:r>
    </w:p>
    <w:p w14:paraId="06F0B281">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 xml:space="preserve">① </w:t>
      </w:r>
      <w:r>
        <w:rPr>
          <w:rFonts w:ascii="宋体" w:hAnsi="宋体" w:eastAsia="宋体" w:cs="宋体"/>
          <w:b/>
          <w:i w:val="0"/>
          <w:spacing w:val="0"/>
          <w:sz w:val="24"/>
          <w:szCs w:val="36"/>
        </w:rPr>
        <w:t>电气安全</w:t>
      </w:r>
    </w:p>
    <w:p w14:paraId="1E493272">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设备防水</w:t>
      </w:r>
      <w:r>
        <w:rPr>
          <w:rFonts w:ascii="宋体" w:hAnsi="宋体" w:eastAsia="宋体" w:cs="宋体"/>
          <w:b w:val="0"/>
          <w:i w:val="0"/>
          <w:spacing w:val="0"/>
          <w:sz w:val="24"/>
        </w:rPr>
        <w:t>：所有电气设备应符合IP65以上防水等级，避免漏水导致短路</w:t>
      </w:r>
    </w:p>
    <w:p w14:paraId="5FF48A2C">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线路隐藏</w:t>
      </w:r>
      <w:r>
        <w:rPr>
          <w:rFonts w:ascii="宋体" w:hAnsi="宋体" w:eastAsia="宋体" w:cs="宋体"/>
          <w:b w:val="0"/>
          <w:i w:val="0"/>
          <w:spacing w:val="0"/>
          <w:sz w:val="24"/>
        </w:rPr>
        <w:t>：控制线路应隐藏于缸体背部或底座内，避免外露引发安全隐患</w:t>
      </w:r>
    </w:p>
    <w:p w14:paraId="7CAD191D">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接地保护</w:t>
      </w:r>
      <w:r>
        <w:rPr>
          <w:rFonts w:ascii="宋体" w:hAnsi="宋体" w:eastAsia="宋体" w:cs="宋体"/>
          <w:b w:val="0"/>
          <w:i w:val="0"/>
          <w:spacing w:val="0"/>
          <w:sz w:val="24"/>
        </w:rPr>
        <w:t>：所有电气设备应有良好的接地保护，防止漏电</w:t>
      </w:r>
    </w:p>
    <w:p w14:paraId="2930EC6E">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智能监控</w:t>
      </w:r>
      <w:r>
        <w:rPr>
          <w:rFonts w:ascii="宋体" w:hAnsi="宋体" w:eastAsia="宋体" w:cs="宋体"/>
          <w:b w:val="0"/>
          <w:i w:val="0"/>
          <w:spacing w:val="0"/>
          <w:sz w:val="24"/>
        </w:rPr>
        <w:t>：可安装水位传感器、温度传感器等，实时监控系统运行状态</w:t>
      </w:r>
    </w:p>
    <w:p w14:paraId="35E050E0">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3EB01B19">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结构稳定性</w:t>
      </w:r>
    </w:p>
    <w:p w14:paraId="1F2E9C9D">
      <w:pPr>
        <w:pageBreakBefore w:val="0"/>
        <w:wordWrap/>
        <w:spacing w:before="160" w:after="0"/>
        <w:ind w:left="0" w:right="0"/>
        <w:jc w:val="left"/>
        <w:textAlignment w:val="auto"/>
        <w:rPr>
          <w:sz w:val="24"/>
        </w:rPr>
      </w:pPr>
      <w:r>
        <w:rPr>
          <w:rFonts w:ascii="宋体" w:hAnsi="宋体" w:eastAsia="宋体" w:cs="宋体"/>
          <w:b w:val="0"/>
          <w:i w:val="0"/>
          <w:spacing w:val="0"/>
          <w:sz w:val="24"/>
        </w:rPr>
        <w:t>水族箱的结构稳定性是确保长期安全使用的基础，主要考虑：</w:t>
      </w:r>
    </w:p>
    <w:p w14:paraId="68395855">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玻璃厚度</w:t>
      </w:r>
      <w:r>
        <w:rPr>
          <w:rFonts w:ascii="宋体" w:hAnsi="宋体" w:eastAsia="宋体" w:cs="宋体"/>
          <w:b w:val="0"/>
          <w:i w:val="0"/>
          <w:spacing w:val="0"/>
          <w:sz w:val="24"/>
        </w:rPr>
        <w:t>：根据GB/T 28205-2011标准，玻璃厚度应≥水深（cm）÷10 + 安全余量（2-4mm）</w:t>
      </w:r>
    </w:p>
    <w:p w14:paraId="10C6D38F">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支架设计</w:t>
      </w:r>
      <w:r>
        <w:rPr>
          <w:rFonts w:ascii="宋体" w:hAnsi="宋体" w:eastAsia="宋体" w:cs="宋体"/>
          <w:b w:val="0"/>
          <w:i w:val="0"/>
          <w:spacing w:val="0"/>
          <w:sz w:val="24"/>
        </w:rPr>
        <w:t>：支架间距应≤水族箱长度的1/2，确保均匀承重</w:t>
      </w:r>
    </w:p>
    <w:p w14:paraId="7B0DD742">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拉筋系统</w:t>
      </w:r>
      <w:r>
        <w:rPr>
          <w:rFonts w:ascii="宋体" w:hAnsi="宋体" w:eastAsia="宋体" w:cs="宋体"/>
          <w:b w:val="0"/>
          <w:i w:val="0"/>
          <w:spacing w:val="0"/>
          <w:sz w:val="24"/>
        </w:rPr>
        <w:t>：大型缸需设计"日"字形或"田"字形拉筋系统，增强结构稳定性</w:t>
      </w:r>
    </w:p>
    <w:p w14:paraId="6CF15A1B">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承重计算</w:t>
      </w:r>
      <w:r>
        <w:rPr>
          <w:rFonts w:ascii="宋体" w:hAnsi="宋体" w:eastAsia="宋体" w:cs="宋体"/>
          <w:b w:val="0"/>
          <w:i w:val="0"/>
          <w:spacing w:val="0"/>
          <w:sz w:val="24"/>
        </w:rPr>
        <w:t>：总承重=水体重量（长×宽×水深×1kg/L）+箱体自重+装饰物重量，承重结构需能承受1.5倍以上总重量</w:t>
      </w:r>
    </w:p>
    <w:p w14:paraId="4288A673">
      <w:pPr>
        <w:pageBreakBefore w:val="0"/>
        <w:wordWrap/>
        <w:spacing w:before="160" w:after="0" w:line="360" w:lineRule="auto"/>
        <w:ind w:left="0" w:right="0"/>
        <w:jc w:val="left"/>
        <w:textAlignment w:val="auto"/>
        <w:rPr>
          <w:sz w:val="24"/>
        </w:rPr>
      </w:pPr>
      <w:r>
        <w:rPr>
          <w:rFonts w:ascii="宋体" w:hAnsi="宋体" w:eastAsia="宋体" w:cs="宋体"/>
          <w:b w:val="0"/>
          <w:i w:val="0"/>
          <w:spacing w:val="0"/>
          <w:sz w:val="24"/>
        </w:rPr>
        <w:t>结构稳定性设计是水族造景中"隐性设计"的另一重要体现，它不直接影响视觉效果，却是确保系统长期安全运行的基础。</w:t>
      </w:r>
    </w:p>
    <w:p w14:paraId="7CEF7A7A">
      <w:pPr>
        <w:spacing w:line="240" w:lineRule="auto"/>
        <w:ind w:left="0" w:firstLine="0"/>
        <w:rPr>
          <w:rFonts w:hint="default" w:eastAsiaTheme="minorEastAsia"/>
          <w:lang w:val="en-US" w:eastAsia="zh-CN"/>
        </w:rPr>
      </w:pPr>
    </w:p>
    <w:p w14:paraId="1424868A">
      <w:pPr>
        <w:spacing w:line="240" w:lineRule="auto"/>
        <w:ind w:left="0" w:firstLine="0"/>
        <w:rPr>
          <w:rFonts w:hint="default" w:eastAsiaTheme="minorEastAsia"/>
          <w:lang w:val="en-US" w:eastAsia="zh-CN"/>
        </w:rPr>
      </w:pPr>
    </w:p>
    <w:p w14:paraId="072B8A57">
      <w:pPr>
        <w:pageBreakBefore w:val="0"/>
        <w:wordWrap/>
        <w:spacing w:before="160" w:after="0"/>
        <w:ind w:left="0" w:right="0"/>
        <w:jc w:val="left"/>
        <w:textAlignment w:val="auto"/>
        <w:rPr>
          <w:sz w:val="36"/>
        </w:rPr>
      </w:pPr>
      <w:r>
        <w:rPr>
          <w:rFonts w:ascii="宋体" w:hAnsi="宋体" w:eastAsia="宋体" w:cs="宋体"/>
          <w:b/>
          <w:i w:val="0"/>
          <w:spacing w:val="0"/>
          <w:sz w:val="36"/>
        </w:rPr>
        <w:t>3. 材料与设备技术</w:t>
      </w:r>
    </w:p>
    <w:p w14:paraId="7396837E">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水族造景的材料与设备是实现设计意图和生态功能的物质基础，</w:t>
      </w:r>
      <w:r>
        <w:rPr>
          <w:rFonts w:ascii="宋体" w:hAnsi="宋体" w:eastAsia="宋体" w:cs="宋体"/>
          <w:b/>
          <w:i w:val="0"/>
          <w:spacing w:val="0"/>
          <w:sz w:val="24"/>
        </w:rPr>
        <w:t>材料的选择和设备的配置直接决定了水族造景的视觉效果、生态稳定性和维护便利性</w:t>
      </w:r>
      <w:r>
        <w:rPr>
          <w:rFonts w:ascii="宋体" w:hAnsi="宋体" w:eastAsia="宋体" w:cs="宋体"/>
          <w:b w:val="0"/>
          <w:i w:val="0"/>
          <w:spacing w:val="0"/>
          <w:sz w:val="24"/>
        </w:rPr>
        <w:t>。随着技术进步和市场需求变化，水族造景材料与设备也在不断创新和升级。</w:t>
      </w:r>
    </w:p>
    <w:p w14:paraId="04C0246D">
      <w:pPr>
        <w:pageBreakBefore w:val="0"/>
        <w:wordWrap/>
        <w:spacing w:before="160" w:after="0"/>
        <w:ind w:left="0" w:right="0"/>
        <w:jc w:val="left"/>
        <w:textAlignment w:val="auto"/>
        <w:rPr>
          <w:sz w:val="28"/>
        </w:rPr>
      </w:pPr>
      <w:r>
        <w:rPr>
          <w:rFonts w:ascii="宋体" w:hAnsi="宋体" w:eastAsia="宋体" w:cs="宋体"/>
          <w:b/>
          <w:i w:val="0"/>
          <w:spacing w:val="0"/>
          <w:sz w:val="28"/>
        </w:rPr>
        <w:t>3.1 基础材料</w:t>
      </w:r>
    </w:p>
    <w:p w14:paraId="23548DD1">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水族造景的基础材料包括水族箱、底床材料、造景素材和植物材料等，它们构成了造景的物质基础。</w:t>
      </w:r>
    </w:p>
    <w:p w14:paraId="1FB72C00">
      <w:pPr>
        <w:pageBreakBefore w:val="0"/>
        <w:wordWrap/>
        <w:spacing w:before="160" w:after="0"/>
        <w:ind w:left="0" w:right="0"/>
        <w:jc w:val="left"/>
        <w:textAlignment w:val="auto"/>
        <w:rPr>
          <w:sz w:val="24"/>
        </w:rPr>
      </w:pPr>
      <w:r>
        <w:rPr>
          <w:rFonts w:ascii="宋体" w:hAnsi="宋体" w:eastAsia="宋体" w:cs="宋体"/>
          <w:b/>
          <w:i w:val="0"/>
          <w:spacing w:val="0"/>
          <w:sz w:val="24"/>
        </w:rPr>
        <w:t>3.1.1 水族箱材质与规格选择</w:t>
      </w:r>
    </w:p>
    <w:p w14:paraId="0DA3A12D">
      <w:pPr>
        <w:pageBreakBefore w:val="0"/>
        <w:wordWrap/>
        <w:spacing w:before="160" w:after="0"/>
        <w:ind w:left="0" w:right="0"/>
        <w:jc w:val="left"/>
        <w:textAlignment w:val="auto"/>
        <w:rPr>
          <w:sz w:val="24"/>
        </w:rPr>
      </w:pPr>
      <w:r>
        <w:rPr>
          <w:rFonts w:ascii="宋体" w:hAnsi="宋体" w:eastAsia="宋体" w:cs="宋体"/>
          <w:b w:val="0"/>
          <w:i w:val="0"/>
          <w:spacing w:val="0"/>
          <w:sz w:val="24"/>
        </w:rPr>
        <w:t>水族箱是水族造景的载体，其材质和规格选择直接影响造景效果和使用寿命：</w:t>
      </w:r>
    </w:p>
    <w:p w14:paraId="0FAB8894">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 xml:space="preserve">① </w:t>
      </w:r>
      <w:r>
        <w:rPr>
          <w:rFonts w:ascii="宋体" w:hAnsi="宋体" w:eastAsia="宋体" w:cs="宋体"/>
          <w:b/>
          <w:i w:val="0"/>
          <w:spacing w:val="0"/>
          <w:sz w:val="24"/>
          <w:szCs w:val="36"/>
        </w:rPr>
        <w:t>玻璃材质</w:t>
      </w:r>
    </w:p>
    <w:p w14:paraId="4B85D0E7">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普通玻璃</w:t>
      </w:r>
      <w:r>
        <w:rPr>
          <w:rFonts w:ascii="宋体" w:hAnsi="宋体" w:eastAsia="宋体" w:cs="宋体"/>
          <w:b w:val="0"/>
          <w:i w:val="0"/>
          <w:spacing w:val="0"/>
          <w:sz w:val="24"/>
        </w:rPr>
        <w:t>：透光率约82%-89%，价格低，但易碎，安全性较差</w:t>
      </w:r>
    </w:p>
    <w:p w14:paraId="3D494A42">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钢化玻璃</w:t>
      </w:r>
      <w:r>
        <w:rPr>
          <w:rFonts w:ascii="宋体" w:hAnsi="宋体" w:eastAsia="宋体" w:cs="宋体"/>
          <w:b w:val="0"/>
          <w:i w:val="0"/>
          <w:spacing w:val="0"/>
          <w:sz w:val="24"/>
        </w:rPr>
        <w:t>：抗冲击强度是普通玻璃的4-5倍，透光率约91%-93.5%，安全系数高（破碎呈小颗粒，无锋利边缘）</w:t>
      </w:r>
    </w:p>
    <w:p w14:paraId="002CE3B5">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超白玻璃</w:t>
      </w:r>
      <w:r>
        <w:rPr>
          <w:rFonts w:ascii="宋体" w:hAnsi="宋体" w:eastAsia="宋体" w:cs="宋体"/>
          <w:b w:val="0"/>
          <w:i w:val="0"/>
          <w:spacing w:val="0"/>
          <w:sz w:val="24"/>
        </w:rPr>
        <w:t>：透光率高达93.5%，几乎无绿边，视觉效果更佳，但价格较高</w:t>
      </w:r>
    </w:p>
    <w:p w14:paraId="2B505F5A">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国家标准</w:t>
      </w:r>
      <w:r>
        <w:rPr>
          <w:rFonts w:ascii="宋体" w:hAnsi="宋体" w:eastAsia="宋体" w:cs="宋体"/>
          <w:b w:val="0"/>
          <w:i w:val="0"/>
          <w:spacing w:val="0"/>
          <w:sz w:val="24"/>
        </w:rPr>
        <w:t>：根据GB/T 28205-2011，家用和类似用途水族箱玻璃厚度≥5mm，安全系数达到8:1（工作应力与极限应力比）</w:t>
      </w:r>
    </w:p>
    <w:p w14:paraId="0E3C2E00">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6CBA7C60">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亚克力材质</w:t>
      </w:r>
    </w:p>
    <w:p w14:paraId="56AAB0B7">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透光率</w:t>
      </w:r>
      <w:r>
        <w:rPr>
          <w:rFonts w:ascii="宋体" w:hAnsi="宋体" w:eastAsia="宋体" w:cs="宋体"/>
          <w:b w:val="0"/>
          <w:i w:val="0"/>
          <w:spacing w:val="0"/>
          <w:sz w:val="24"/>
        </w:rPr>
        <w:t>：普通亚克力约89%-92%，高端亚克力可达93.5%，甚至超过部分玻璃</w:t>
      </w:r>
    </w:p>
    <w:p w14:paraId="7C57EED9">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抗冲击性</w:t>
      </w:r>
      <w:r>
        <w:rPr>
          <w:rFonts w:ascii="宋体" w:hAnsi="宋体" w:eastAsia="宋体" w:cs="宋体"/>
          <w:b w:val="0"/>
          <w:i w:val="0"/>
          <w:spacing w:val="0"/>
          <w:sz w:val="24"/>
        </w:rPr>
        <w:t>：是同级玻璃的15倍，安全性极高</w:t>
      </w:r>
    </w:p>
    <w:p w14:paraId="1470D024">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光学性能</w:t>
      </w:r>
      <w:r>
        <w:rPr>
          <w:rFonts w:ascii="宋体" w:hAnsi="宋体" w:eastAsia="宋体" w:cs="宋体"/>
          <w:b w:val="0"/>
          <w:i w:val="0"/>
          <w:spacing w:val="0"/>
          <w:sz w:val="24"/>
        </w:rPr>
        <w:t>：高端亚克力采用蛾眼仿生技术，反射率≤0.4%，透光率≥99%</w:t>
      </w:r>
    </w:p>
    <w:p w14:paraId="7873DF20">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适用场景</w:t>
      </w:r>
      <w:r>
        <w:rPr>
          <w:rFonts w:ascii="宋体" w:hAnsi="宋体" w:eastAsia="宋体" w:cs="宋体"/>
          <w:b w:val="0"/>
          <w:i w:val="0"/>
          <w:spacing w:val="0"/>
          <w:sz w:val="24"/>
        </w:rPr>
        <w:t>：适合制作大型弧形水族箱和特殊造型，但维护成本略高</w:t>
      </w:r>
    </w:p>
    <w:p w14:paraId="20CE7BA6">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1380D2A1">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③</w:t>
      </w:r>
      <w:r>
        <w:rPr>
          <w:rFonts w:ascii="宋体" w:hAnsi="宋体" w:eastAsia="宋体" w:cs="宋体"/>
          <w:b/>
          <w:i w:val="0"/>
          <w:spacing w:val="0"/>
          <w:sz w:val="24"/>
          <w:szCs w:val="36"/>
        </w:rPr>
        <w:t xml:space="preserve"> 尺寸规格选择</w:t>
      </w:r>
    </w:p>
    <w:p w14:paraId="3700CDCC">
      <w:pPr>
        <w:pageBreakBefore w:val="0"/>
        <w:wordWrap/>
        <w:spacing w:before="160" w:after="0" w:line="360" w:lineRule="auto"/>
        <w:ind w:left="0" w:right="0"/>
        <w:jc w:val="left"/>
        <w:textAlignment w:val="auto"/>
        <w:rPr>
          <w:sz w:val="24"/>
        </w:rPr>
      </w:pPr>
      <w:r>
        <w:rPr>
          <w:rFonts w:ascii="宋体" w:hAnsi="宋体" w:eastAsia="宋体" w:cs="宋体"/>
          <w:b w:val="0"/>
          <w:i w:val="0"/>
          <w:spacing w:val="0"/>
          <w:sz w:val="24"/>
        </w:rPr>
        <w:t>水族箱尺寸规格选择需考虑多方面因素：</w:t>
      </w:r>
    </w:p>
    <w:p w14:paraId="6AB739B4">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家庭场景</w:t>
      </w:r>
      <w:r>
        <w:rPr>
          <w:rFonts w:ascii="宋体" w:hAnsi="宋体" w:eastAsia="宋体" w:cs="宋体"/>
          <w:b w:val="0"/>
          <w:i w:val="0"/>
          <w:spacing w:val="0"/>
          <w:sz w:val="24"/>
        </w:rPr>
        <w:t>：深度≤60cm，高度≤1.3m，以成年人站立可勉强操作为宜</w:t>
      </w:r>
    </w:p>
    <w:p w14:paraId="7FCF0448">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商业场景</w:t>
      </w:r>
      <w:r>
        <w:rPr>
          <w:rFonts w:ascii="宋体" w:hAnsi="宋体" w:eastAsia="宋体" w:cs="宋体"/>
          <w:b w:val="0"/>
          <w:i w:val="0"/>
          <w:spacing w:val="0"/>
          <w:sz w:val="24"/>
        </w:rPr>
        <w:t>：可根据空间需求定制，但需遵循"安全厚度=水深（cm）÷10 + 安全余量（2-4mm）"的原则</w:t>
      </w:r>
    </w:p>
    <w:p w14:paraId="4686445E">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经验公式</w:t>
      </w:r>
      <w:r>
        <w:rPr>
          <w:rFonts w:ascii="宋体" w:hAnsi="宋体" w:eastAsia="宋体" w:cs="宋体"/>
          <w:b w:val="0"/>
          <w:i w:val="0"/>
          <w:spacing w:val="0"/>
          <w:sz w:val="24"/>
        </w:rPr>
        <w:t>：对于长×宽×高≤1.2m³的鱼缸，钢化玻璃厚度（毫米）=安全系数K×(水深（米）×长度（米))^0.5（K=3-4）</w:t>
      </w:r>
    </w:p>
    <w:p w14:paraId="1AE66339">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主流尺寸</w:t>
      </w:r>
      <w:r>
        <w:rPr>
          <w:rFonts w:ascii="宋体" w:hAnsi="宋体" w:eastAsia="宋体" w:cs="宋体"/>
          <w:b w:val="0"/>
          <w:i w:val="0"/>
          <w:spacing w:val="0"/>
          <w:sz w:val="24"/>
        </w:rPr>
        <w:t>：家庭水族箱以60cm（长）、45cm（宽）、45cm（高）为标准尺寸，商业场景则根据需求定制</w:t>
      </w:r>
    </w:p>
    <w:p w14:paraId="0BE07DC7">
      <w:pPr>
        <w:pageBreakBefore w:val="0"/>
        <w:wordWrap/>
        <w:spacing w:before="160" w:after="0"/>
        <w:ind w:left="0" w:right="0"/>
        <w:jc w:val="left"/>
        <w:textAlignment w:val="auto"/>
        <w:rPr>
          <w:rFonts w:ascii="宋体" w:hAnsi="宋体" w:eastAsia="宋体" w:cs="宋体"/>
          <w:b/>
          <w:i w:val="0"/>
          <w:spacing w:val="0"/>
          <w:sz w:val="24"/>
        </w:rPr>
      </w:pPr>
    </w:p>
    <w:p w14:paraId="1F9011C9">
      <w:pPr>
        <w:pageBreakBefore w:val="0"/>
        <w:wordWrap/>
        <w:spacing w:before="160" w:after="0"/>
        <w:ind w:left="0" w:right="0"/>
        <w:jc w:val="left"/>
        <w:textAlignment w:val="auto"/>
        <w:rPr>
          <w:sz w:val="24"/>
        </w:rPr>
      </w:pPr>
      <w:r>
        <w:rPr>
          <w:rFonts w:ascii="宋体" w:hAnsi="宋体" w:eastAsia="宋体" w:cs="宋体"/>
          <w:b/>
          <w:i w:val="0"/>
          <w:spacing w:val="0"/>
          <w:sz w:val="24"/>
        </w:rPr>
        <w:t>3.1.2 底床材料（基质、砂石等）</w:t>
      </w:r>
    </w:p>
    <w:p w14:paraId="01BBEC51">
      <w:pPr>
        <w:pageBreakBefore w:val="0"/>
        <w:wordWrap/>
        <w:spacing w:before="160" w:after="0"/>
        <w:ind w:left="0" w:right="0"/>
        <w:jc w:val="left"/>
        <w:textAlignment w:val="auto"/>
        <w:rPr>
          <w:sz w:val="24"/>
        </w:rPr>
      </w:pPr>
      <w:r>
        <w:rPr>
          <w:rFonts w:ascii="宋体" w:hAnsi="宋体" w:eastAsia="宋体" w:cs="宋体"/>
          <w:b w:val="0"/>
          <w:i w:val="0"/>
          <w:spacing w:val="0"/>
          <w:sz w:val="24"/>
        </w:rPr>
        <w:t>底床材料是水族造景的"土壤"，直接影响水草生长和水质稳定：</w:t>
      </w:r>
    </w:p>
    <w:p w14:paraId="4ECD6BA6">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ADA泥</w:t>
      </w:r>
    </w:p>
    <w:p w14:paraId="42912146">
      <w:pPr>
        <w:pageBreakBefore w:val="0"/>
        <w:numPr>
          <w:numId w:val="0"/>
        </w:numPr>
        <w:wordWrap/>
        <w:spacing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特性</w:t>
      </w:r>
      <w:r>
        <w:rPr>
          <w:rFonts w:ascii="宋体" w:hAnsi="宋体" w:eastAsia="宋体" w:cs="宋体"/>
          <w:b w:val="0"/>
          <w:i w:val="0"/>
          <w:spacing w:val="0"/>
          <w:sz w:val="24"/>
        </w:rPr>
        <w:t>：由天然土壤特殊烧制而成，pH值5.5-6.5，低硬度，适合弱酸性水体</w:t>
      </w:r>
    </w:p>
    <w:p w14:paraId="514DFB3D">
      <w:pPr>
        <w:pageBreakBefore w:val="0"/>
        <w:numPr>
          <w:numId w:val="0"/>
        </w:numPr>
        <w:wordWrap/>
        <w:spacing w:after="0" w:line="360" w:lineRule="auto"/>
        <w:ind w:left="0" w:leftChars="0" w:right="0" w:rightChars="0" w:firstLine="482" w:firstLineChars="200"/>
        <w:jc w:val="left"/>
        <w:textAlignment w:val="auto"/>
        <w:rPr>
          <w:sz w:val="24"/>
        </w:rPr>
      </w:pPr>
      <w:r>
        <w:rPr>
          <w:rFonts w:ascii="宋体" w:hAnsi="宋体" w:eastAsia="宋体" w:cs="宋体"/>
          <w:b/>
          <w:i w:val="0"/>
          <w:spacing w:val="0"/>
          <w:sz w:val="24"/>
        </w:rPr>
        <w:t>成分</w:t>
      </w:r>
      <w:r>
        <w:rPr>
          <w:rFonts w:ascii="宋体" w:hAnsi="宋体" w:eastAsia="宋体" w:cs="宋体"/>
          <w:b w:val="0"/>
          <w:i w:val="0"/>
          <w:spacing w:val="0"/>
          <w:sz w:val="24"/>
        </w:rPr>
        <w:t>：亚马逊、非洲、马来三种水草故乡的热带雨林为蓝本，含有丰富的微量元素</w:t>
      </w:r>
    </w:p>
    <w:p w14:paraId="653052D6">
      <w:pPr>
        <w:pageBreakBefore w:val="0"/>
        <w:numPr>
          <w:numId w:val="0"/>
        </w:numPr>
        <w:wordWrap/>
        <w:spacing w:after="0" w:line="360" w:lineRule="auto"/>
        <w:ind w:right="0" w:rightChars="0" w:firstLine="482" w:firstLineChars="200"/>
        <w:jc w:val="left"/>
        <w:textAlignment w:val="auto"/>
        <w:rPr>
          <w:sz w:val="24"/>
        </w:rPr>
      </w:pPr>
      <w:r>
        <w:rPr>
          <w:rFonts w:ascii="宋体" w:hAnsi="宋体" w:eastAsia="宋体" w:cs="宋体"/>
          <w:b/>
          <w:i w:val="0"/>
          <w:spacing w:val="0"/>
          <w:sz w:val="24"/>
        </w:rPr>
        <w:t>使用方法</w:t>
      </w:r>
      <w:r>
        <w:rPr>
          <w:rFonts w:ascii="宋体" w:hAnsi="宋体" w:eastAsia="宋体" w:cs="宋体"/>
          <w:b w:val="0"/>
          <w:i w:val="0"/>
          <w:spacing w:val="0"/>
          <w:sz w:val="24"/>
        </w:rPr>
        <w:t>：无需清洗，直接铺设；前低后高布置增强立体效果；用量标准：60cm缸约9L</w:t>
      </w:r>
    </w:p>
    <w:p w14:paraId="013C6E40">
      <w:pPr>
        <w:pageBreakBefore w:val="0"/>
        <w:numPr>
          <w:numId w:val="0"/>
        </w:numPr>
        <w:wordWrap/>
        <w:spacing w:after="0" w:line="360" w:lineRule="auto"/>
        <w:ind w:right="0" w:rightChars="0" w:firstLine="482" w:firstLineChars="200"/>
        <w:jc w:val="left"/>
        <w:textAlignment w:val="auto"/>
        <w:rPr>
          <w:sz w:val="24"/>
        </w:rPr>
      </w:pPr>
      <w:r>
        <w:rPr>
          <w:rFonts w:ascii="宋体" w:hAnsi="宋体" w:eastAsia="宋体" w:cs="宋体"/>
          <w:b/>
          <w:i w:val="0"/>
          <w:spacing w:val="0"/>
          <w:sz w:val="24"/>
        </w:rPr>
        <w:t>注意事项</w:t>
      </w:r>
      <w:r>
        <w:rPr>
          <w:rFonts w:ascii="宋体" w:hAnsi="宋体" w:eastAsia="宋体" w:cs="宋体"/>
          <w:b w:val="0"/>
          <w:i w:val="0"/>
          <w:spacing w:val="0"/>
          <w:sz w:val="24"/>
        </w:rPr>
        <w:t>：水质偏酸，不适合海水鱼和偏好碱性环境的热带鱼；严禁与其他品牌产品混合使用</w:t>
      </w:r>
    </w:p>
    <w:p w14:paraId="08B628EB">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56B5E0D6">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赤玉土</w:t>
      </w:r>
    </w:p>
    <w:p w14:paraId="5A718D13">
      <w:pPr>
        <w:pageBreakBefore w:val="0"/>
        <w:numPr>
          <w:ilvl w:val="0"/>
          <w:numId w:val="0"/>
        </w:numPr>
        <w:wordWrap/>
        <w:spacing w:after="0" w:line="360" w:lineRule="auto"/>
        <w:ind w:left="0" w:leftChars="0" w:right="0" w:rightChars="0" w:firstLine="482" w:firstLineChars="200"/>
        <w:jc w:val="left"/>
        <w:textAlignment w:val="auto"/>
        <w:rPr>
          <w:sz w:val="24"/>
        </w:rPr>
      </w:pPr>
      <w:r>
        <w:rPr>
          <w:rFonts w:ascii="宋体" w:hAnsi="宋体" w:eastAsia="宋体" w:cs="宋体"/>
          <w:b/>
          <w:i w:val="0"/>
          <w:spacing w:val="0"/>
          <w:sz w:val="24"/>
        </w:rPr>
        <w:t>特性</w:t>
      </w:r>
      <w:r>
        <w:rPr>
          <w:rFonts w:ascii="宋体" w:hAnsi="宋体" w:eastAsia="宋体" w:cs="宋体"/>
          <w:b w:val="0"/>
          <w:i w:val="0"/>
          <w:spacing w:val="0"/>
          <w:sz w:val="24"/>
        </w:rPr>
        <w:t>：火山灰堆积而成的高通透性火山泥，孔隙率60%-65%，颗粒结构平均粒径3-6mm</w:t>
      </w:r>
    </w:p>
    <w:p w14:paraId="262AB9EF">
      <w:pPr>
        <w:pageBreakBefore w:val="0"/>
        <w:numPr>
          <w:ilvl w:val="0"/>
          <w:numId w:val="0"/>
        </w:numPr>
        <w:wordWrap/>
        <w:spacing w:after="0" w:line="360" w:lineRule="auto"/>
        <w:ind w:left="0" w:leftChars="0" w:right="0" w:rightChars="0" w:firstLine="482" w:firstLineChars="200"/>
        <w:jc w:val="left"/>
        <w:textAlignment w:val="auto"/>
        <w:rPr>
          <w:sz w:val="24"/>
        </w:rPr>
      </w:pPr>
      <w:r>
        <w:rPr>
          <w:rFonts w:ascii="宋体" w:hAnsi="宋体" w:eastAsia="宋体" w:cs="宋体"/>
          <w:b/>
          <w:i w:val="0"/>
          <w:spacing w:val="0"/>
          <w:sz w:val="24"/>
        </w:rPr>
        <w:t>化学成分</w:t>
      </w:r>
      <w:r>
        <w:rPr>
          <w:rFonts w:ascii="宋体" w:hAnsi="宋体" w:eastAsia="宋体" w:cs="宋体"/>
          <w:b w:val="0"/>
          <w:i w:val="0"/>
          <w:spacing w:val="0"/>
          <w:sz w:val="24"/>
        </w:rPr>
        <w:t>：SiO₂（46.2%）、Al₂O₃（28.7%），含Fe₂O₃（2.2%）及微量氧化钙、氧化镁等</w:t>
      </w:r>
    </w:p>
    <w:p w14:paraId="1F153356">
      <w:pPr>
        <w:pageBreakBefore w:val="0"/>
        <w:numPr>
          <w:ilvl w:val="0"/>
          <w:numId w:val="0"/>
        </w:numPr>
        <w:wordWrap/>
        <w:spacing w:after="0" w:line="360" w:lineRule="auto"/>
        <w:ind w:left="0" w:leftChars="0" w:right="0" w:rightChars="0" w:firstLine="482" w:firstLineChars="200"/>
        <w:jc w:val="left"/>
        <w:textAlignment w:val="auto"/>
        <w:rPr>
          <w:sz w:val="24"/>
        </w:rPr>
      </w:pPr>
      <w:r>
        <w:rPr>
          <w:rFonts w:ascii="宋体" w:hAnsi="宋体" w:eastAsia="宋体" w:cs="宋体"/>
          <w:b/>
          <w:i w:val="0"/>
          <w:spacing w:val="0"/>
          <w:sz w:val="24"/>
        </w:rPr>
        <w:t>功能</w:t>
      </w:r>
      <w:r>
        <w:rPr>
          <w:rFonts w:ascii="宋体" w:hAnsi="宋体" w:eastAsia="宋体" w:cs="宋体"/>
          <w:b w:val="0"/>
          <w:i w:val="0"/>
          <w:spacing w:val="0"/>
          <w:sz w:val="24"/>
        </w:rPr>
        <w:t>：具有良好的蓄水和排水性能，能防止积水烂根，又能保持根系周围适度湿润；可释放铁等微量元素</w:t>
      </w:r>
    </w:p>
    <w:p w14:paraId="4E59410C">
      <w:pPr>
        <w:pageBreakBefore w:val="0"/>
        <w:numPr>
          <w:ilvl w:val="0"/>
          <w:numId w:val="0"/>
        </w:numPr>
        <w:wordWrap/>
        <w:spacing w:after="0" w:line="360" w:lineRule="auto"/>
        <w:ind w:left="0" w:leftChars="0" w:right="0" w:rightChars="0" w:firstLine="482" w:firstLineChars="200"/>
        <w:jc w:val="left"/>
        <w:textAlignment w:val="auto"/>
        <w:rPr>
          <w:sz w:val="24"/>
        </w:rPr>
      </w:pPr>
      <w:r>
        <w:rPr>
          <w:rFonts w:ascii="宋体" w:hAnsi="宋体" w:eastAsia="宋体" w:cs="宋体"/>
          <w:b/>
          <w:i w:val="0"/>
          <w:spacing w:val="0"/>
          <w:sz w:val="24"/>
        </w:rPr>
        <w:t>适用场景</w:t>
      </w:r>
      <w:r>
        <w:rPr>
          <w:rFonts w:ascii="宋体" w:hAnsi="宋体" w:eastAsia="宋体" w:cs="宋体"/>
          <w:b w:val="0"/>
          <w:i w:val="0"/>
          <w:spacing w:val="0"/>
          <w:sz w:val="24"/>
        </w:rPr>
        <w:t>：特别适合杜鹃、兰花等喜酸植物，但需配合有机肥使用，因氮、磷、钾含量极低</w:t>
      </w:r>
    </w:p>
    <w:p w14:paraId="1FB9EEA7">
      <w:pPr>
        <w:pageBreakBefore w:val="0"/>
        <w:numPr>
          <w:ilvl w:val="0"/>
          <w:numId w:val="0"/>
        </w:numPr>
        <w:wordWrap/>
        <w:spacing w:after="0" w:line="360" w:lineRule="auto"/>
        <w:ind w:left="0" w:leftChars="0" w:right="0" w:rightChars="0" w:firstLine="482" w:firstLineChars="200"/>
        <w:jc w:val="left"/>
        <w:textAlignment w:val="auto"/>
        <w:rPr>
          <w:sz w:val="24"/>
        </w:rPr>
      </w:pPr>
      <w:r>
        <w:rPr>
          <w:rFonts w:ascii="宋体" w:hAnsi="宋体" w:eastAsia="宋体" w:cs="宋体"/>
          <w:b/>
          <w:i w:val="0"/>
          <w:spacing w:val="0"/>
          <w:sz w:val="24"/>
        </w:rPr>
        <w:t>配比建议</w:t>
      </w:r>
      <w:r>
        <w:rPr>
          <w:rFonts w:ascii="宋体" w:hAnsi="宋体" w:eastAsia="宋体" w:cs="宋体"/>
          <w:b w:val="0"/>
          <w:i w:val="0"/>
          <w:spacing w:val="0"/>
          <w:sz w:val="24"/>
        </w:rPr>
        <w:t>：与泥炭土、珍珠岩按3:2:1比例混合，兼顾排水性和营养供给</w:t>
      </w:r>
    </w:p>
    <w:p w14:paraId="399AA2C4">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58E4CA5C">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③</w:t>
      </w:r>
      <w:r>
        <w:rPr>
          <w:rFonts w:ascii="宋体" w:hAnsi="宋体" w:eastAsia="宋体" w:cs="宋体"/>
          <w:b/>
          <w:i w:val="0"/>
          <w:spacing w:val="0"/>
          <w:sz w:val="24"/>
          <w:szCs w:val="36"/>
        </w:rPr>
        <w:t xml:space="preserve"> 其他底床材料</w:t>
      </w:r>
    </w:p>
    <w:p w14:paraId="1D1BB147">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河沙</w:t>
      </w:r>
      <w:r>
        <w:rPr>
          <w:rFonts w:ascii="宋体" w:hAnsi="宋体" w:eastAsia="宋体" w:cs="宋体"/>
          <w:b w:val="0"/>
          <w:i w:val="0"/>
          <w:spacing w:val="0"/>
          <w:sz w:val="24"/>
        </w:rPr>
        <w:t>：成本低，易获取，但保肥能力差，适合短期造景</w:t>
      </w:r>
    </w:p>
    <w:p w14:paraId="1B5E8518">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黑水</w:t>
      </w:r>
      <w:r>
        <w:rPr>
          <w:rFonts w:ascii="宋体" w:hAnsi="宋体" w:eastAsia="宋体" w:cs="宋体"/>
          <w:b w:val="0"/>
          <w:i w:val="0"/>
          <w:spacing w:val="0"/>
          <w:sz w:val="24"/>
        </w:rPr>
        <w:t>：酸性水质调节剂，pH可降至5.5以下，适合南美水草</w:t>
      </w:r>
    </w:p>
    <w:p w14:paraId="09FA92E0">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珊瑚砂</w:t>
      </w:r>
      <w:r>
        <w:rPr>
          <w:rFonts w:ascii="宋体" w:hAnsi="宋体" w:eastAsia="宋体" w:cs="宋体"/>
          <w:b w:val="0"/>
          <w:i w:val="0"/>
          <w:spacing w:val="0"/>
          <w:sz w:val="24"/>
        </w:rPr>
        <w:t>：碱性水质调节剂，pH可升至7.5以上，适合海水缸和部分淡水鱼</w:t>
      </w:r>
    </w:p>
    <w:p w14:paraId="472AF89D">
      <w:pPr>
        <w:pageBreakBefore w:val="0"/>
        <w:numPr>
          <w:numId w:val="0"/>
        </w:numPr>
        <w:wordWrap/>
        <w:spacing w:before="160" w:after="0" w:line="360" w:lineRule="auto"/>
        <w:ind w:left="2166" w:leftChars="228" w:right="0" w:rightChars="0" w:hanging="1687" w:hangingChars="700"/>
        <w:jc w:val="left"/>
        <w:textAlignment w:val="auto"/>
        <w:rPr>
          <w:sz w:val="24"/>
        </w:rPr>
      </w:pPr>
      <w:r>
        <w:rPr>
          <w:rFonts w:ascii="宋体" w:hAnsi="宋体" w:eastAsia="宋体" w:cs="宋体"/>
          <w:b/>
          <w:i w:val="0"/>
          <w:spacing w:val="0"/>
          <w:sz w:val="24"/>
        </w:rPr>
        <w:t>硝化细菌载体</w:t>
      </w:r>
      <w:r>
        <w:rPr>
          <w:rFonts w:ascii="宋体" w:hAnsi="宋体" w:eastAsia="宋体" w:cs="宋体"/>
          <w:b w:val="0"/>
          <w:i w:val="0"/>
          <w:spacing w:val="0"/>
          <w:sz w:val="24"/>
        </w:rPr>
        <w:t>：如细菌屋、纤维环等，提供硝化细菌附着场所，增强水质净化能力</w:t>
      </w:r>
    </w:p>
    <w:p w14:paraId="7ADFE672">
      <w:pPr>
        <w:pageBreakBefore w:val="0"/>
        <w:wordWrap/>
        <w:spacing w:before="160" w:after="0" w:line="240" w:lineRule="auto"/>
        <w:ind w:left="0" w:right="0"/>
        <w:jc w:val="left"/>
        <w:textAlignment w:val="auto"/>
        <w:rPr>
          <w:rFonts w:ascii="宋体" w:hAnsi="宋体" w:eastAsia="宋体" w:cs="宋体"/>
          <w:b/>
          <w:i w:val="0"/>
          <w:spacing w:val="0"/>
          <w:sz w:val="24"/>
        </w:rPr>
      </w:pPr>
    </w:p>
    <w:p w14:paraId="1CA92664">
      <w:pPr>
        <w:pageBreakBefore w:val="0"/>
        <w:wordWrap/>
        <w:spacing w:before="160" w:after="0" w:line="240" w:lineRule="auto"/>
        <w:ind w:left="0" w:right="0"/>
        <w:jc w:val="left"/>
        <w:textAlignment w:val="auto"/>
        <w:rPr>
          <w:sz w:val="24"/>
        </w:rPr>
      </w:pPr>
      <w:r>
        <w:rPr>
          <w:rFonts w:ascii="宋体" w:hAnsi="宋体" w:eastAsia="宋体" w:cs="宋体"/>
          <w:b/>
          <w:i w:val="0"/>
          <w:spacing w:val="0"/>
          <w:sz w:val="24"/>
        </w:rPr>
        <w:t>3.1.3 造景素材（石材、沉木、陶瓷等）</w:t>
      </w:r>
    </w:p>
    <w:p w14:paraId="7FA987C3">
      <w:pPr>
        <w:pageBreakBefore w:val="0"/>
        <w:wordWrap/>
        <w:spacing w:before="160" w:after="0" w:line="240" w:lineRule="auto"/>
        <w:ind w:left="0" w:right="0"/>
        <w:jc w:val="left"/>
        <w:textAlignment w:val="auto"/>
        <w:rPr>
          <w:sz w:val="24"/>
        </w:rPr>
      </w:pPr>
      <w:r>
        <w:rPr>
          <w:rFonts w:ascii="宋体" w:hAnsi="宋体" w:eastAsia="宋体" w:cs="宋体"/>
          <w:b w:val="0"/>
          <w:i w:val="0"/>
          <w:spacing w:val="0"/>
          <w:sz w:val="24"/>
        </w:rPr>
        <w:t>造景素材是水族造景的骨架，决定了景观的基本形态和风格：</w:t>
      </w:r>
    </w:p>
    <w:p w14:paraId="4D4E783B">
      <w:pPr>
        <w:pageBreakBefore w:val="0"/>
        <w:wordWrap/>
        <w:spacing w:before="160" w:after="0" w:line="360" w:lineRule="auto"/>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石材分类与特性</w:t>
      </w:r>
    </w:p>
    <w:p w14:paraId="60F7288B">
      <w:pPr>
        <w:pageBreakBefore w:val="0"/>
        <w:numPr>
          <w:numId w:val="0"/>
        </w:numPr>
        <w:wordWrap/>
        <w:spacing w:before="160" w:after="0" w:line="360" w:lineRule="auto"/>
        <w:ind w:left="1202" w:leftChars="228" w:right="0" w:rightChars="0" w:hanging="723" w:hangingChars="300"/>
        <w:jc w:val="left"/>
        <w:textAlignment w:val="auto"/>
        <w:rPr>
          <w:sz w:val="24"/>
        </w:rPr>
      </w:pPr>
      <w:r>
        <w:rPr>
          <w:rFonts w:ascii="宋体" w:hAnsi="宋体" w:eastAsia="宋体" w:cs="宋体"/>
          <w:b/>
          <w:i w:val="0"/>
          <w:spacing w:val="0"/>
          <w:sz w:val="24"/>
        </w:rPr>
        <w:t>溪石</w:t>
      </w:r>
      <w:r>
        <w:rPr>
          <w:rFonts w:ascii="宋体" w:hAnsi="宋体" w:eastAsia="宋体" w:cs="宋体"/>
          <w:b w:val="0"/>
          <w:i w:val="0"/>
          <w:spacing w:val="0"/>
          <w:sz w:val="24"/>
        </w:rPr>
        <w:t>：黄土色与红褐色混合的暖色系石材，适合营造溪流峭壁效果，干燥时表面呈现白色纹路，湿润后呈现暖色调</w:t>
      </w:r>
    </w:p>
    <w:p w14:paraId="09E9436A">
      <w:pPr>
        <w:pageBreakBefore w:val="0"/>
        <w:numPr>
          <w:numId w:val="0"/>
        </w:numPr>
        <w:wordWrap/>
        <w:spacing w:before="160" w:after="0" w:line="360" w:lineRule="auto"/>
        <w:ind w:left="1443" w:leftChars="228" w:right="0" w:rightChars="0" w:hanging="964" w:hangingChars="400"/>
        <w:jc w:val="left"/>
        <w:textAlignment w:val="auto"/>
        <w:rPr>
          <w:sz w:val="24"/>
        </w:rPr>
      </w:pPr>
      <w:r>
        <w:rPr>
          <w:rFonts w:ascii="宋体" w:hAnsi="宋体" w:eastAsia="宋体" w:cs="宋体"/>
          <w:b/>
          <w:i w:val="0"/>
          <w:spacing w:val="0"/>
          <w:sz w:val="24"/>
        </w:rPr>
        <w:t>龙王石</w:t>
      </w:r>
      <w:r>
        <w:rPr>
          <w:rFonts w:ascii="宋体" w:hAnsi="宋体" w:eastAsia="宋体" w:cs="宋体"/>
          <w:b w:val="0"/>
          <w:i w:val="0"/>
          <w:spacing w:val="0"/>
          <w:sz w:val="24"/>
        </w:rPr>
        <w:t>：寒色系清爽石材，表面有白色筋纹和多种褶皱纹路，适合营造礁石岩壁效果</w:t>
      </w:r>
    </w:p>
    <w:p w14:paraId="2BC7F9A3">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火山石</w:t>
      </w:r>
      <w:r>
        <w:rPr>
          <w:rFonts w:ascii="宋体" w:hAnsi="宋体" w:eastAsia="宋体" w:cs="宋体"/>
          <w:b w:val="0"/>
          <w:i w:val="0"/>
          <w:spacing w:val="0"/>
          <w:sz w:val="24"/>
        </w:rPr>
        <w:t>：多孔结构，有利于硝化细菌附着，可同时作为造景素材和生物载体</w:t>
      </w:r>
    </w:p>
    <w:p w14:paraId="73C64CF0">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青龙石</w:t>
      </w:r>
      <w:r>
        <w:rPr>
          <w:rFonts w:ascii="宋体" w:hAnsi="宋体" w:eastAsia="宋体" w:cs="宋体"/>
          <w:b w:val="0"/>
          <w:i w:val="0"/>
          <w:spacing w:val="0"/>
          <w:sz w:val="24"/>
        </w:rPr>
        <w:t>：青灰色，表面光滑，适合营造山石溪流效果</w:t>
      </w:r>
    </w:p>
    <w:p w14:paraId="4702BDF8">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松皮石</w:t>
      </w:r>
      <w:r>
        <w:rPr>
          <w:rFonts w:ascii="宋体" w:hAnsi="宋体" w:eastAsia="宋体" w:cs="宋体"/>
          <w:b w:val="0"/>
          <w:i w:val="0"/>
          <w:spacing w:val="0"/>
          <w:sz w:val="24"/>
        </w:rPr>
        <w:t>：表面有类似松树皮的纹理，适合营造溪流底部效果</w:t>
      </w:r>
    </w:p>
    <w:p w14:paraId="171623BD">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017447FD">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沉木分类与特性</w:t>
      </w:r>
    </w:p>
    <w:p w14:paraId="3B2F95FC">
      <w:pPr>
        <w:pageBreakBefore w:val="0"/>
        <w:wordWrap/>
        <w:spacing w:before="160" w:after="0"/>
        <w:ind w:left="0" w:right="0"/>
        <w:jc w:val="left"/>
        <w:textAlignment w:val="auto"/>
        <w:rPr>
          <w:sz w:val="24"/>
        </w:rPr>
      </w:pPr>
      <w:r>
        <w:rPr>
          <w:rFonts w:ascii="宋体" w:hAnsi="宋体" w:eastAsia="宋体" w:cs="宋体"/>
          <w:b w:val="0"/>
          <w:i w:val="0"/>
          <w:spacing w:val="0"/>
          <w:sz w:val="24"/>
        </w:rPr>
        <w:t>沉木是水族造景中重要的自然素材，根据其特性和处理方式可分为：</w:t>
      </w:r>
    </w:p>
    <w:p w14:paraId="636AD623">
      <w:pPr>
        <w:pageBreakBefore w:val="0"/>
        <w:numPr>
          <w:numId w:val="0"/>
        </w:numPr>
        <w:wordWrap/>
        <w:spacing w:before="160" w:after="0" w:line="360" w:lineRule="auto"/>
        <w:ind w:left="1202" w:leftChars="228" w:right="0" w:rightChars="0" w:hanging="723" w:hangingChars="300"/>
        <w:jc w:val="left"/>
        <w:textAlignment w:val="auto"/>
        <w:rPr>
          <w:sz w:val="24"/>
        </w:rPr>
      </w:pPr>
      <w:r>
        <w:rPr>
          <w:rFonts w:ascii="宋体" w:hAnsi="宋体" w:eastAsia="宋体" w:cs="宋体"/>
          <w:b/>
          <w:i w:val="0"/>
          <w:spacing w:val="0"/>
          <w:sz w:val="24"/>
        </w:rPr>
        <w:t>阴木</w:t>
      </w:r>
      <w:r>
        <w:rPr>
          <w:rFonts w:ascii="宋体" w:hAnsi="宋体" w:eastAsia="宋体" w:cs="宋体"/>
          <w:b w:val="0"/>
          <w:i w:val="0"/>
          <w:spacing w:val="0"/>
          <w:sz w:val="24"/>
        </w:rPr>
        <w:t>：黑褐色，质地紧密，不会腐烂，重量大，需煮沸30分钟或浸泡数天去除色素</w:t>
      </w:r>
    </w:p>
    <w:p w14:paraId="059E62AF">
      <w:pPr>
        <w:pageBreakBefore w:val="0"/>
        <w:numPr>
          <w:numId w:val="0"/>
        </w:numPr>
        <w:wordWrap/>
        <w:spacing w:before="160" w:after="0" w:line="360" w:lineRule="auto"/>
        <w:ind w:left="1202" w:leftChars="228" w:right="0" w:rightChars="0" w:hanging="723" w:hangingChars="300"/>
        <w:jc w:val="left"/>
        <w:textAlignment w:val="auto"/>
        <w:rPr>
          <w:sz w:val="24"/>
        </w:rPr>
      </w:pPr>
      <w:r>
        <w:rPr>
          <w:rFonts w:ascii="宋体" w:hAnsi="宋体" w:eastAsia="宋体" w:cs="宋体"/>
          <w:b/>
          <w:i w:val="0"/>
          <w:spacing w:val="0"/>
          <w:sz w:val="24"/>
        </w:rPr>
        <w:t>流木</w:t>
      </w:r>
      <w:r>
        <w:rPr>
          <w:rFonts w:ascii="宋体" w:hAnsi="宋体" w:eastAsia="宋体" w:cs="宋体"/>
          <w:b w:val="0"/>
          <w:i w:val="0"/>
          <w:spacing w:val="0"/>
          <w:sz w:val="24"/>
        </w:rPr>
        <w:t>：褐色，质地较阴木松散，使用时间长会软化，需煮沸60分钟或浸泡1周</w:t>
      </w:r>
    </w:p>
    <w:p w14:paraId="3EC060E5">
      <w:pPr>
        <w:pageBreakBefore w:val="0"/>
        <w:numPr>
          <w:numId w:val="0"/>
        </w:numPr>
        <w:wordWrap/>
        <w:spacing w:before="160" w:after="0" w:line="360" w:lineRule="auto"/>
        <w:ind w:left="2166" w:leftChars="228" w:right="0" w:rightChars="0" w:hanging="1687" w:hangingChars="700"/>
        <w:jc w:val="left"/>
        <w:textAlignment w:val="auto"/>
        <w:rPr>
          <w:sz w:val="24"/>
        </w:rPr>
      </w:pPr>
      <w:r>
        <w:rPr>
          <w:rFonts w:ascii="宋体" w:hAnsi="宋体" w:eastAsia="宋体" w:cs="宋体"/>
          <w:b/>
          <w:i w:val="0"/>
          <w:spacing w:val="0"/>
          <w:sz w:val="24"/>
        </w:rPr>
        <w:t>藤条/半沉木</w:t>
      </w:r>
      <w:r>
        <w:rPr>
          <w:rFonts w:ascii="宋体" w:hAnsi="宋体" w:eastAsia="宋体" w:cs="宋体"/>
          <w:b w:val="0"/>
          <w:i w:val="0"/>
          <w:spacing w:val="0"/>
          <w:sz w:val="24"/>
        </w:rPr>
        <w:t>：白褐相间，质地较松，需煮沸60分钟或浸泡1周，可绑各种水草掩盖天然缺陷</w:t>
      </w:r>
    </w:p>
    <w:p w14:paraId="43553129">
      <w:pPr>
        <w:pageBreakBefore w:val="0"/>
        <w:numPr>
          <w:numId w:val="0"/>
        </w:numPr>
        <w:wordWrap/>
        <w:spacing w:before="160" w:after="0" w:line="360" w:lineRule="auto"/>
        <w:ind w:left="1443" w:leftChars="228" w:right="0" w:rightChars="0" w:hanging="964" w:hangingChars="400"/>
        <w:jc w:val="left"/>
        <w:textAlignment w:val="auto"/>
        <w:rPr>
          <w:sz w:val="24"/>
        </w:rPr>
      </w:pPr>
      <w:r>
        <w:rPr>
          <w:rFonts w:ascii="宋体" w:hAnsi="宋体" w:eastAsia="宋体" w:cs="宋体"/>
          <w:b/>
          <w:i w:val="0"/>
          <w:spacing w:val="0"/>
          <w:sz w:val="24"/>
        </w:rPr>
        <w:t>杜鹃根</w:t>
      </w:r>
      <w:r>
        <w:rPr>
          <w:rFonts w:ascii="宋体" w:hAnsi="宋体" w:eastAsia="宋体" w:cs="宋体"/>
          <w:b w:val="0"/>
          <w:i w:val="0"/>
          <w:spacing w:val="0"/>
          <w:sz w:val="24"/>
        </w:rPr>
        <w:t>：金黄色，可沉水，造型优美，适合ADA风格，可直接使用但需重物压实</w:t>
      </w:r>
    </w:p>
    <w:p w14:paraId="5EAF2AC4">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灵芝木</w:t>
      </w:r>
      <w:r>
        <w:rPr>
          <w:rFonts w:ascii="宋体" w:hAnsi="宋体" w:eastAsia="宋体" w:cs="宋体"/>
          <w:b w:val="0"/>
          <w:i w:val="0"/>
          <w:spacing w:val="0"/>
          <w:sz w:val="24"/>
        </w:rPr>
        <w:t>：自然两种颜色对比强烈，无需煮沸或浸泡，观赏性极强</w:t>
      </w:r>
    </w:p>
    <w:p w14:paraId="435EA848">
      <w:pPr>
        <w:pageBreakBefore w:val="0"/>
        <w:wordWrap/>
        <w:spacing w:before="160" w:after="0"/>
        <w:ind w:left="0" w:right="0"/>
        <w:jc w:val="left"/>
        <w:textAlignment w:val="auto"/>
        <w:rPr>
          <w:sz w:val="24"/>
        </w:rPr>
      </w:pPr>
      <w:r>
        <w:rPr>
          <w:rFonts w:ascii="宋体" w:hAnsi="宋体" w:eastAsia="宋体" w:cs="宋体"/>
          <w:b w:val="0"/>
          <w:i w:val="0"/>
          <w:spacing w:val="0"/>
          <w:sz w:val="24"/>
        </w:rPr>
        <w:t>沉木的处理是确保水质稳定和景观美观的关键步骤，通常需经过煮沸、浸泡、消毒等多道工序。</w:t>
      </w:r>
    </w:p>
    <w:p w14:paraId="30D913DE">
      <w:pPr>
        <w:pageBreakBefore w:val="0"/>
        <w:wordWrap/>
        <w:spacing w:before="160" w:after="0"/>
        <w:ind w:left="0" w:right="0"/>
        <w:jc w:val="left"/>
        <w:textAlignment w:val="auto"/>
        <w:rPr>
          <w:sz w:val="24"/>
        </w:rPr>
      </w:pPr>
      <w:r>
        <w:rPr>
          <w:rFonts w:ascii="宋体" w:hAnsi="宋体" w:eastAsia="宋体" w:cs="宋体"/>
          <w:b/>
          <w:i w:val="0"/>
          <w:spacing w:val="0"/>
          <w:sz w:val="24"/>
        </w:rPr>
        <w:t>3.1.4 植物材料（常见水草种类及特性）</w:t>
      </w:r>
    </w:p>
    <w:p w14:paraId="717E2B31">
      <w:pPr>
        <w:pageBreakBefore w:val="0"/>
        <w:wordWrap/>
        <w:spacing w:before="160" w:after="0"/>
        <w:ind w:left="0" w:right="0"/>
        <w:jc w:val="left"/>
        <w:textAlignment w:val="auto"/>
        <w:rPr>
          <w:sz w:val="24"/>
        </w:rPr>
      </w:pPr>
      <w:r>
        <w:rPr>
          <w:rFonts w:ascii="宋体" w:hAnsi="宋体" w:eastAsia="宋体" w:cs="宋体"/>
          <w:b w:val="0"/>
          <w:i w:val="0"/>
          <w:spacing w:val="0"/>
          <w:sz w:val="24"/>
        </w:rPr>
        <w:t>水草是水族造景的核心元素，根据其光照需求可分为阴性草、半阴性草、半阳性草和阳性草：</w:t>
      </w:r>
    </w:p>
    <w:p w14:paraId="47564C8A">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阳性水草</w:t>
      </w:r>
    </w:p>
    <w:p w14:paraId="17DC4559">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光照需求</w:t>
      </w:r>
      <w:r>
        <w:rPr>
          <w:rFonts w:ascii="宋体" w:hAnsi="宋体" w:eastAsia="宋体" w:cs="宋体"/>
          <w:b w:val="0"/>
          <w:i w:val="0"/>
          <w:spacing w:val="0"/>
          <w:sz w:val="24"/>
        </w:rPr>
        <w:t>：最低需光量&gt;1500Lux，光饱和点约2000-2500Lux</w:t>
      </w:r>
    </w:p>
    <w:p w14:paraId="7AE5397A">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CO₂需求</w:t>
      </w:r>
      <w:r>
        <w:rPr>
          <w:rFonts w:ascii="宋体" w:hAnsi="宋体" w:eastAsia="宋体" w:cs="宋体"/>
          <w:b w:val="0"/>
          <w:i w:val="0"/>
          <w:spacing w:val="0"/>
          <w:sz w:val="24"/>
        </w:rPr>
        <w:t>：20-30ppm（约0.45-0.68mmol/L），促进光合作用和发色</w:t>
      </w:r>
    </w:p>
    <w:p w14:paraId="67493D20">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代表品种</w:t>
      </w:r>
      <w:r>
        <w:rPr>
          <w:rFonts w:ascii="宋体" w:hAnsi="宋体" w:eastAsia="宋体" w:cs="宋体"/>
          <w:b w:val="0"/>
          <w:i w:val="0"/>
          <w:spacing w:val="0"/>
          <w:sz w:val="24"/>
        </w:rPr>
        <w:t>：红蝴蝶、血宫廷、太阳草、罗汉草等</w:t>
      </w:r>
    </w:p>
    <w:p w14:paraId="7ECEA2A3">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种植区域</w:t>
      </w:r>
      <w:r>
        <w:rPr>
          <w:rFonts w:ascii="宋体" w:hAnsi="宋体" w:eastAsia="宋体" w:cs="宋体"/>
          <w:b w:val="0"/>
          <w:i w:val="0"/>
          <w:spacing w:val="0"/>
          <w:sz w:val="24"/>
        </w:rPr>
        <w:t>：通常种植在光照充足的中后景区域</w:t>
      </w:r>
    </w:p>
    <w:p w14:paraId="35B45208">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生长特点</w:t>
      </w:r>
      <w:r>
        <w:rPr>
          <w:rFonts w:ascii="宋体" w:hAnsi="宋体" w:eastAsia="宋体" w:cs="宋体"/>
          <w:b w:val="0"/>
          <w:i w:val="0"/>
          <w:spacing w:val="0"/>
          <w:sz w:val="24"/>
        </w:rPr>
        <w:t>：生长快，需定期修剪和调整，对水质要求较高</w:t>
      </w:r>
    </w:p>
    <w:p w14:paraId="755C739B">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阴性水草</w:t>
      </w:r>
    </w:p>
    <w:p w14:paraId="458BFC3D">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光照需求</w:t>
      </w:r>
      <w:r>
        <w:rPr>
          <w:rFonts w:ascii="宋体" w:hAnsi="宋体" w:eastAsia="宋体" w:cs="宋体"/>
          <w:b w:val="0"/>
          <w:i w:val="0"/>
          <w:spacing w:val="0"/>
          <w:sz w:val="24"/>
        </w:rPr>
        <w:t>：最低需光量&lt;500Lux，可耐受弱光环境</w:t>
      </w:r>
    </w:p>
    <w:p w14:paraId="4BC60BB9">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CO₂需求</w:t>
      </w:r>
      <w:r>
        <w:rPr>
          <w:rFonts w:ascii="宋体" w:hAnsi="宋体" w:eastAsia="宋体" w:cs="宋体"/>
          <w:b w:val="0"/>
          <w:i w:val="0"/>
          <w:spacing w:val="0"/>
          <w:sz w:val="24"/>
        </w:rPr>
        <w:t>：5-10ppm（约0.11-02.2mmol/L），对CO₂需求较低</w:t>
      </w:r>
    </w:p>
    <w:p w14:paraId="7FBE308A">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代表品种</w:t>
      </w:r>
      <w:r>
        <w:rPr>
          <w:rFonts w:ascii="宋体" w:hAnsi="宋体" w:eastAsia="宋体" w:cs="宋体"/>
          <w:b w:val="0"/>
          <w:i w:val="0"/>
          <w:spacing w:val="0"/>
          <w:sz w:val="24"/>
        </w:rPr>
        <w:t>：铁皇冠、黑木蕨、莫丝、水榕、椒草等</w:t>
      </w:r>
    </w:p>
    <w:p w14:paraId="617E5E79">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种植区域</w:t>
      </w:r>
      <w:r>
        <w:rPr>
          <w:rFonts w:ascii="宋体" w:hAnsi="宋体" w:eastAsia="宋体" w:cs="宋体"/>
          <w:b w:val="0"/>
          <w:i w:val="0"/>
          <w:spacing w:val="0"/>
          <w:sz w:val="24"/>
        </w:rPr>
        <w:t>：通常种植在光照较弱的前景区域，或作为中后景的点缀</w:t>
      </w:r>
    </w:p>
    <w:p w14:paraId="737519A5">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生长特点</w:t>
      </w:r>
      <w:r>
        <w:rPr>
          <w:rFonts w:ascii="宋体" w:hAnsi="宋体" w:eastAsia="宋体" w:cs="宋体"/>
          <w:b w:val="0"/>
          <w:i w:val="0"/>
          <w:spacing w:val="0"/>
          <w:sz w:val="24"/>
        </w:rPr>
        <w:t>：生长缓慢，耐低光照，但对水质稳定性要求高</w:t>
      </w:r>
    </w:p>
    <w:p w14:paraId="33AF680B">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③</w:t>
      </w:r>
      <w:r>
        <w:rPr>
          <w:rFonts w:ascii="宋体" w:hAnsi="宋体" w:eastAsia="宋体" w:cs="宋体"/>
          <w:b/>
          <w:i w:val="0"/>
          <w:spacing w:val="0"/>
          <w:sz w:val="24"/>
          <w:szCs w:val="36"/>
        </w:rPr>
        <w:t xml:space="preserve"> 水草种植参数表</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380"/>
        <w:gridCol w:w="1380"/>
        <w:gridCol w:w="1380"/>
        <w:gridCol w:w="1380"/>
        <w:gridCol w:w="1380"/>
        <w:gridCol w:w="1380"/>
      </w:tblGrid>
      <w:tr w14:paraId="28714A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shd w:val="clear" w:color="auto" w:fill="EEEEEE"/>
          </w:tcPr>
          <w:p w14:paraId="22FEA02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水草类型</w:t>
            </w:r>
          </w:p>
        </w:tc>
        <w:tc>
          <w:tcPr>
            <w:tcW w:w="1380" w:type="dxa"/>
            <w:shd w:val="clear" w:color="auto" w:fill="EEEEEE"/>
          </w:tcPr>
          <w:p w14:paraId="3A83132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光照需求</w:t>
            </w:r>
          </w:p>
        </w:tc>
        <w:tc>
          <w:tcPr>
            <w:tcW w:w="1380" w:type="dxa"/>
            <w:shd w:val="clear" w:color="auto" w:fill="EEEEEE"/>
          </w:tcPr>
          <w:p w14:paraId="0815FC2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CO₂需求</w:t>
            </w:r>
          </w:p>
        </w:tc>
        <w:tc>
          <w:tcPr>
            <w:tcW w:w="1380" w:type="dxa"/>
            <w:shd w:val="clear" w:color="auto" w:fill="EEEEEE"/>
          </w:tcPr>
          <w:p w14:paraId="1FA3BAB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种植密度</w:t>
            </w:r>
          </w:p>
        </w:tc>
        <w:tc>
          <w:tcPr>
            <w:tcW w:w="1380" w:type="dxa"/>
            <w:shd w:val="clear" w:color="auto" w:fill="EEEEEE"/>
          </w:tcPr>
          <w:p w14:paraId="68AC0D4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修剪频率</w:t>
            </w:r>
          </w:p>
        </w:tc>
        <w:tc>
          <w:tcPr>
            <w:tcW w:w="1380" w:type="dxa"/>
            <w:shd w:val="clear" w:color="auto" w:fill="EEEEEE"/>
          </w:tcPr>
          <w:p w14:paraId="5382A16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生长特点</w:t>
            </w:r>
          </w:p>
        </w:tc>
      </w:tr>
      <w:tr w14:paraId="2179C6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tcPr>
          <w:p w14:paraId="563AC8E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阳性草</w:t>
            </w:r>
          </w:p>
        </w:tc>
        <w:tc>
          <w:tcPr>
            <w:tcW w:w="1380" w:type="dxa"/>
          </w:tcPr>
          <w:p w14:paraId="55D1D27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&gt;1500Lux</w:t>
            </w:r>
          </w:p>
        </w:tc>
        <w:tc>
          <w:tcPr>
            <w:tcW w:w="1380" w:type="dxa"/>
          </w:tcPr>
          <w:p w14:paraId="6FE5575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20-30ppm</w:t>
            </w:r>
          </w:p>
        </w:tc>
        <w:tc>
          <w:tcPr>
            <w:tcW w:w="1380" w:type="dxa"/>
          </w:tcPr>
          <w:p w14:paraId="3E5BCC8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中等</w:t>
            </w:r>
          </w:p>
        </w:tc>
        <w:tc>
          <w:tcPr>
            <w:tcW w:w="1380" w:type="dxa"/>
          </w:tcPr>
          <w:p w14:paraId="2654C4D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高频（每周）</w:t>
            </w:r>
          </w:p>
        </w:tc>
        <w:tc>
          <w:tcPr>
            <w:tcW w:w="1380" w:type="dxa"/>
          </w:tcPr>
          <w:p w14:paraId="75BAA59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生长快，需强光照和高CO₂</w:t>
            </w:r>
          </w:p>
        </w:tc>
      </w:tr>
      <w:tr w14:paraId="29D370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tcPr>
          <w:p w14:paraId="7429F5A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半阳性草</w:t>
            </w:r>
          </w:p>
        </w:tc>
        <w:tc>
          <w:tcPr>
            <w:tcW w:w="1380" w:type="dxa"/>
          </w:tcPr>
          <w:p w14:paraId="3AEB039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1000-1500Lux</w:t>
            </w:r>
          </w:p>
        </w:tc>
        <w:tc>
          <w:tcPr>
            <w:tcW w:w="1380" w:type="dxa"/>
          </w:tcPr>
          <w:p w14:paraId="17DAB48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10-20ppm</w:t>
            </w:r>
          </w:p>
        </w:tc>
        <w:tc>
          <w:tcPr>
            <w:tcW w:w="1380" w:type="dxa"/>
          </w:tcPr>
          <w:p w14:paraId="6BCF1A0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中等</w:t>
            </w:r>
          </w:p>
        </w:tc>
        <w:tc>
          <w:tcPr>
            <w:tcW w:w="1380" w:type="dxa"/>
          </w:tcPr>
          <w:p w14:paraId="207B607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中频（每两周）</w:t>
            </w:r>
          </w:p>
        </w:tc>
        <w:tc>
          <w:tcPr>
            <w:tcW w:w="1380" w:type="dxa"/>
          </w:tcPr>
          <w:p w14:paraId="160A8FE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生长中等，适应性较好</w:t>
            </w:r>
          </w:p>
        </w:tc>
      </w:tr>
      <w:tr w14:paraId="015628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tcPr>
          <w:p w14:paraId="6A012D4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半阴性草</w:t>
            </w:r>
          </w:p>
        </w:tc>
        <w:tc>
          <w:tcPr>
            <w:tcW w:w="1380" w:type="dxa"/>
          </w:tcPr>
          <w:p w14:paraId="475190A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500-1000Lux</w:t>
            </w:r>
          </w:p>
        </w:tc>
        <w:tc>
          <w:tcPr>
            <w:tcW w:w="1380" w:type="dxa"/>
          </w:tcPr>
          <w:p w14:paraId="7F4FD8E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5-10ppm</w:t>
            </w:r>
          </w:p>
        </w:tc>
        <w:tc>
          <w:tcPr>
            <w:tcW w:w="1380" w:type="dxa"/>
          </w:tcPr>
          <w:p w14:paraId="221C7B4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高等</w:t>
            </w:r>
          </w:p>
        </w:tc>
        <w:tc>
          <w:tcPr>
            <w:tcW w:w="1380" w:type="dxa"/>
          </w:tcPr>
          <w:p w14:paraId="524AE1F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低频（每月）</w:t>
            </w:r>
          </w:p>
        </w:tc>
        <w:tc>
          <w:tcPr>
            <w:tcW w:w="1380" w:type="dxa"/>
          </w:tcPr>
          <w:p w14:paraId="5468AAB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生长较慢，适应性较好</w:t>
            </w:r>
          </w:p>
        </w:tc>
      </w:tr>
      <w:tr w14:paraId="219B84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tcPr>
          <w:p w14:paraId="4CFFC71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阴性草</w:t>
            </w:r>
          </w:p>
        </w:tc>
        <w:tc>
          <w:tcPr>
            <w:tcW w:w="1380" w:type="dxa"/>
          </w:tcPr>
          <w:p w14:paraId="1A1AA77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&lt;500Lux</w:t>
            </w:r>
          </w:p>
        </w:tc>
        <w:tc>
          <w:tcPr>
            <w:tcW w:w="1380" w:type="dxa"/>
          </w:tcPr>
          <w:p w14:paraId="3226C08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2-5ppm</w:t>
            </w:r>
          </w:p>
        </w:tc>
        <w:tc>
          <w:tcPr>
            <w:tcW w:w="1380" w:type="dxa"/>
          </w:tcPr>
          <w:p w14:paraId="14E5E85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高等</w:t>
            </w:r>
          </w:p>
        </w:tc>
        <w:tc>
          <w:tcPr>
            <w:tcW w:w="1380" w:type="dxa"/>
          </w:tcPr>
          <w:p w14:paraId="3D61B39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极低频（每季度）</w:t>
            </w:r>
          </w:p>
        </w:tc>
        <w:tc>
          <w:tcPr>
            <w:tcW w:w="1380" w:type="dxa"/>
          </w:tcPr>
          <w:p w14:paraId="0DD0741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生长缓慢，耐低光照</w:t>
            </w:r>
          </w:p>
        </w:tc>
      </w:tr>
    </w:tbl>
    <w:p w14:paraId="77F15A05">
      <w:pPr>
        <w:pageBreakBefore w:val="0"/>
        <w:wordWrap/>
        <w:spacing w:before="160" w:after="0"/>
        <w:ind w:left="0" w:right="0"/>
        <w:jc w:val="left"/>
        <w:textAlignment w:val="auto"/>
        <w:rPr>
          <w:sz w:val="24"/>
        </w:rPr>
      </w:pPr>
      <w:r>
        <w:rPr>
          <w:rFonts w:ascii="宋体" w:hAnsi="宋体" w:eastAsia="宋体" w:cs="宋体"/>
          <w:b w:val="0"/>
          <w:i w:val="0"/>
          <w:spacing w:val="0"/>
          <w:sz w:val="24"/>
        </w:rPr>
        <w:t>水草种植密度和修剪频率直接影响景观的美观度和水质的稳定性，需根据水草种类和缸体大小合理规划。</w:t>
      </w:r>
    </w:p>
    <w:p w14:paraId="54DCB0D9">
      <w:pPr>
        <w:pageBreakBefore w:val="0"/>
        <w:wordWrap/>
        <w:spacing w:before="160" w:after="0"/>
        <w:ind w:left="0" w:right="0"/>
        <w:jc w:val="left"/>
        <w:textAlignment w:val="auto"/>
        <w:rPr>
          <w:sz w:val="28"/>
        </w:rPr>
      </w:pPr>
      <w:r>
        <w:rPr>
          <w:rFonts w:ascii="宋体" w:hAnsi="宋体" w:eastAsia="宋体" w:cs="宋体"/>
          <w:b/>
          <w:i w:val="0"/>
          <w:spacing w:val="0"/>
          <w:sz w:val="28"/>
        </w:rPr>
        <w:t>3.2 核心设备</w:t>
      </w:r>
    </w:p>
    <w:p w14:paraId="7C69F249">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水族造景的核心设备是维持系统稳定运行的关键，包括过滤系统、照明系统、温控与加热设备和水质监测与调节设备等。</w:t>
      </w:r>
    </w:p>
    <w:p w14:paraId="1441B1E4">
      <w:pPr>
        <w:pageBreakBefore w:val="0"/>
        <w:wordWrap/>
        <w:spacing w:before="160" w:after="0"/>
        <w:ind w:left="0" w:right="0"/>
        <w:jc w:val="left"/>
        <w:textAlignment w:val="auto"/>
        <w:rPr>
          <w:sz w:val="24"/>
        </w:rPr>
      </w:pPr>
      <w:r>
        <w:rPr>
          <w:rFonts w:ascii="宋体" w:hAnsi="宋体" w:eastAsia="宋体" w:cs="宋体"/>
          <w:b/>
          <w:i w:val="0"/>
          <w:spacing w:val="0"/>
          <w:sz w:val="24"/>
        </w:rPr>
        <w:t>3.2.1 过滤系统（物理、生物、化学过滤）</w:t>
      </w:r>
    </w:p>
    <w:p w14:paraId="18C591CF">
      <w:pPr>
        <w:pageBreakBefore w:val="0"/>
        <w:wordWrap/>
        <w:spacing w:before="160" w:after="0"/>
        <w:ind w:left="0" w:right="0"/>
        <w:jc w:val="left"/>
        <w:textAlignment w:val="auto"/>
        <w:rPr>
          <w:sz w:val="24"/>
        </w:rPr>
      </w:pPr>
      <w:r>
        <w:rPr>
          <w:rFonts w:ascii="宋体" w:hAnsi="宋体" w:eastAsia="宋体" w:cs="宋体"/>
          <w:b w:val="0"/>
          <w:i w:val="0"/>
          <w:spacing w:val="0"/>
          <w:sz w:val="24"/>
        </w:rPr>
        <w:t>过滤系统是水族造景中最重要的设备之一，负责清除水中杂质、维持水质清澈：</w:t>
      </w:r>
    </w:p>
    <w:p w14:paraId="5AC42B78">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过滤系统类型与特点</w:t>
      </w:r>
    </w:p>
    <w:p w14:paraId="5D92D550">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上滤</w:t>
      </w:r>
      <w:r>
        <w:rPr>
          <w:rFonts w:ascii="宋体" w:hAnsi="宋体" w:eastAsia="宋体" w:cs="宋体"/>
          <w:b w:val="0"/>
          <w:i w:val="0"/>
          <w:spacing w:val="0"/>
          <w:sz w:val="24"/>
        </w:rPr>
        <w:t>：安装在水族箱顶部，结构简单，成本低，但噪音较大，适合小型缸</w:t>
      </w:r>
    </w:p>
    <w:p w14:paraId="336C8A71">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背滤</w:t>
      </w:r>
      <w:r>
        <w:rPr>
          <w:rFonts w:ascii="宋体" w:hAnsi="宋体" w:eastAsia="宋体" w:cs="宋体"/>
          <w:b w:val="0"/>
          <w:i w:val="0"/>
          <w:spacing w:val="0"/>
          <w:sz w:val="24"/>
        </w:rPr>
        <w:t>：安装在水族箱背部，美观度高，维护方便，但容量有限，适合中型缸</w:t>
      </w:r>
    </w:p>
    <w:p w14:paraId="1283A66F">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底滤</w:t>
      </w:r>
      <w:r>
        <w:rPr>
          <w:rFonts w:ascii="宋体" w:hAnsi="宋体" w:eastAsia="宋体" w:cs="宋体"/>
          <w:b w:val="0"/>
          <w:i w:val="0"/>
          <w:spacing w:val="0"/>
          <w:sz w:val="24"/>
        </w:rPr>
        <w:t>：安装在水族箱底部，过滤效果好，但易导致底床浑浊，需谨慎使用</w:t>
      </w:r>
    </w:p>
    <w:p w14:paraId="1AA862F2">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外挂桶</w:t>
      </w:r>
      <w:r>
        <w:rPr>
          <w:rFonts w:ascii="宋体" w:hAnsi="宋体" w:eastAsia="宋体" w:cs="宋体"/>
          <w:b w:val="0"/>
          <w:i w:val="0"/>
          <w:spacing w:val="0"/>
          <w:sz w:val="24"/>
        </w:rPr>
        <w:t>：安装在水族箱外侧，容量大，维护方便，可安装多种滤材，适合中大型缸</w:t>
      </w:r>
    </w:p>
    <w:p w14:paraId="136B43DD">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一体式过滤</w:t>
      </w:r>
      <w:r>
        <w:rPr>
          <w:rFonts w:ascii="宋体" w:hAnsi="宋体" w:eastAsia="宋体" w:cs="宋体"/>
          <w:b w:val="0"/>
          <w:i w:val="0"/>
          <w:spacing w:val="0"/>
          <w:sz w:val="24"/>
        </w:rPr>
        <w:t>：与水族箱一体设计，美观度最高，但可调节性较差，适合特定风格缸</w:t>
      </w:r>
    </w:p>
    <w:p w14:paraId="13CDE3BE">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过滤流量计算</w:t>
      </w:r>
    </w:p>
    <w:p w14:paraId="4D913FAB">
      <w:pPr>
        <w:pageBreakBefore w:val="0"/>
        <w:wordWrap/>
        <w:spacing w:before="160" w:after="0"/>
        <w:ind w:left="0" w:right="0"/>
        <w:jc w:val="left"/>
        <w:textAlignment w:val="auto"/>
        <w:rPr>
          <w:sz w:val="24"/>
        </w:rPr>
      </w:pPr>
      <w:r>
        <w:rPr>
          <w:rFonts w:ascii="宋体" w:hAnsi="宋体" w:eastAsia="宋体" w:cs="宋体"/>
          <w:b w:val="0"/>
          <w:i w:val="0"/>
          <w:spacing w:val="0"/>
          <w:sz w:val="24"/>
        </w:rPr>
        <w:t>过滤流量是确保水质稳定的关键参数，计算公式为：</w:t>
      </w:r>
    </w:p>
    <w:p w14:paraId="7C89FB26">
      <w:pPr>
        <w:pageBreakBefore w:val="0"/>
        <w:wordWrap/>
        <w:spacing w:before="160" w:after="0"/>
        <w:ind w:left="0" w:right="0"/>
        <w:jc w:val="left"/>
        <w:textAlignment w:val="auto"/>
        <w:rPr>
          <w:sz w:val="24"/>
        </w:rPr>
      </w:pPr>
      <w:r>
        <w:rPr>
          <w:rFonts w:ascii="宋体" w:hAnsi="宋体" w:eastAsia="宋体" w:cs="宋体"/>
          <w:b w:val="0"/>
          <w:i w:val="0"/>
          <w:spacing w:val="0"/>
          <w:sz w:val="24"/>
        </w:rPr>
        <w:t>其中，流量倍数根据缸体类型不同有所差异：</w:t>
      </w:r>
    </w:p>
    <w:p w14:paraId="103ACB2B">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草缸</w:t>
      </w:r>
      <w:r>
        <w:rPr>
          <w:rFonts w:ascii="宋体" w:hAnsi="宋体" w:eastAsia="宋体" w:cs="宋体"/>
          <w:b w:val="0"/>
          <w:i w:val="0"/>
          <w:spacing w:val="0"/>
          <w:sz w:val="24"/>
        </w:rPr>
        <w:t>：2.5-3倍水体体积（如100L缸需250-300L/H流量）</w:t>
      </w:r>
    </w:p>
    <w:p w14:paraId="42E124E2">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鱼缸</w:t>
      </w:r>
      <w:r>
        <w:rPr>
          <w:rFonts w:ascii="宋体" w:hAnsi="宋体" w:eastAsia="宋体" w:cs="宋体"/>
          <w:b w:val="0"/>
          <w:i w:val="0"/>
          <w:spacing w:val="0"/>
          <w:sz w:val="24"/>
        </w:rPr>
        <w:t>：3-5倍水体体积</w:t>
      </w:r>
    </w:p>
    <w:p w14:paraId="3910F385">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混合缸</w:t>
      </w:r>
      <w:r>
        <w:rPr>
          <w:rFonts w:ascii="宋体" w:hAnsi="宋体" w:eastAsia="宋体" w:cs="宋体"/>
          <w:b w:val="0"/>
          <w:i w:val="0"/>
          <w:spacing w:val="0"/>
          <w:sz w:val="24"/>
        </w:rPr>
        <w:t>：2.5-4倍水体体积（根据水草密度调整）</w:t>
      </w:r>
    </w:p>
    <w:p w14:paraId="219EBB5B">
      <w:pPr>
        <w:pageBreakBefore w:val="0"/>
        <w:wordWrap/>
        <w:spacing w:before="160" w:after="0"/>
        <w:ind w:left="0" w:right="0"/>
        <w:jc w:val="left"/>
        <w:textAlignment w:val="auto"/>
        <w:rPr>
          <w:sz w:val="24"/>
        </w:rPr>
      </w:pPr>
      <w:r>
        <w:rPr>
          <w:rFonts w:ascii="宋体" w:hAnsi="宋体" w:eastAsia="宋体" w:cs="宋体"/>
          <w:b w:val="0"/>
          <w:i w:val="0"/>
          <w:spacing w:val="0"/>
          <w:sz w:val="24"/>
        </w:rPr>
        <w:t>实际选择时，</w:t>
      </w:r>
      <w:r>
        <w:rPr>
          <w:rFonts w:ascii="宋体" w:hAnsi="宋体" w:eastAsia="宋体" w:cs="宋体"/>
          <w:b/>
          <w:i w:val="0"/>
          <w:spacing w:val="0"/>
          <w:sz w:val="24"/>
        </w:rPr>
        <w:t>需考虑管路阻力（约降低30%流量）和长期使用菌膜的影响</w:t>
      </w:r>
      <w:r>
        <w:rPr>
          <w:rFonts w:ascii="宋体" w:hAnsi="宋体" w:eastAsia="宋体" w:cs="宋体"/>
          <w:b w:val="0"/>
          <w:i w:val="0"/>
          <w:spacing w:val="0"/>
          <w:sz w:val="24"/>
        </w:rPr>
        <w:t>，通常选择标称流量为计算值1.5倍的水泵。</w:t>
      </w:r>
    </w:p>
    <w:p w14:paraId="7FE60F3F">
      <w:pPr>
        <w:pageBreakBefore w:val="0"/>
        <w:wordWrap/>
        <w:spacing w:before="160" w:after="0"/>
        <w:ind w:left="0" w:right="0"/>
        <w:jc w:val="left"/>
        <w:textAlignment w:val="auto"/>
        <w:rPr>
          <w:rFonts w:ascii="宋体" w:hAnsi="宋体" w:eastAsia="宋体" w:cs="宋体"/>
          <w:b/>
          <w:i w:val="0"/>
          <w:spacing w:val="0"/>
          <w:sz w:val="24"/>
        </w:rPr>
      </w:pPr>
    </w:p>
    <w:p w14:paraId="40EF0F78">
      <w:pPr>
        <w:pageBreakBefore w:val="0"/>
        <w:wordWrap/>
        <w:spacing w:before="160" w:after="0"/>
        <w:ind w:left="0" w:right="0"/>
        <w:jc w:val="left"/>
        <w:textAlignment w:val="auto"/>
        <w:rPr>
          <w:sz w:val="24"/>
        </w:rPr>
      </w:pPr>
      <w:r>
        <w:rPr>
          <w:rFonts w:ascii="宋体" w:hAnsi="宋体" w:eastAsia="宋体" w:cs="宋体"/>
          <w:b/>
          <w:i w:val="0"/>
          <w:spacing w:val="0"/>
          <w:sz w:val="24"/>
        </w:rPr>
        <w:t>3.2.2 照明系统（光谱、强度、周期）</w:t>
      </w:r>
    </w:p>
    <w:p w14:paraId="3F021645">
      <w:pPr>
        <w:pageBreakBefore w:val="0"/>
        <w:wordWrap/>
        <w:spacing w:before="160" w:after="0"/>
        <w:ind w:left="0" w:right="0"/>
        <w:jc w:val="left"/>
        <w:textAlignment w:val="auto"/>
        <w:rPr>
          <w:sz w:val="24"/>
        </w:rPr>
      </w:pPr>
      <w:r>
        <w:rPr>
          <w:rFonts w:ascii="宋体" w:hAnsi="宋体" w:eastAsia="宋体" w:cs="宋体"/>
          <w:b w:val="0"/>
          <w:i w:val="0"/>
          <w:spacing w:val="0"/>
          <w:sz w:val="24"/>
        </w:rPr>
        <w:t>照明系统是水族造景中影响水草生长和景观效果的关键设备：</w:t>
      </w:r>
    </w:p>
    <w:p w14:paraId="264004A2">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光谱设计</w:t>
      </w:r>
    </w:p>
    <w:p w14:paraId="583E369E">
      <w:pPr>
        <w:pageBreakBefore w:val="0"/>
        <w:wordWrap/>
        <w:spacing w:before="160" w:after="0"/>
        <w:ind w:left="0" w:right="0"/>
        <w:jc w:val="left"/>
        <w:textAlignment w:val="auto"/>
        <w:rPr>
          <w:sz w:val="24"/>
        </w:rPr>
      </w:pPr>
      <w:r>
        <w:rPr>
          <w:rFonts w:ascii="宋体" w:hAnsi="宋体" w:eastAsia="宋体" w:cs="宋体"/>
          <w:b w:val="0"/>
          <w:i w:val="0"/>
          <w:spacing w:val="0"/>
          <w:sz w:val="24"/>
        </w:rPr>
        <w:t>水草光合作用主要依赖蓝光（400-520nm）和红光（610-720nm）：</w:t>
      </w:r>
    </w:p>
    <w:p w14:paraId="460F8870">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蓝光</w:t>
      </w:r>
      <w:r>
        <w:rPr>
          <w:rFonts w:ascii="宋体" w:hAnsi="宋体" w:eastAsia="宋体" w:cs="宋体"/>
          <w:b w:val="0"/>
          <w:i w:val="0"/>
          <w:spacing w:val="0"/>
          <w:sz w:val="24"/>
        </w:rPr>
        <w:t>：占比约30-35%，促进叶绿素合成，抑制水草徒长</w:t>
      </w:r>
    </w:p>
    <w:p w14:paraId="34544703">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红光</w:t>
      </w:r>
      <w:r>
        <w:rPr>
          <w:rFonts w:ascii="宋体" w:hAnsi="宋体" w:eastAsia="宋体" w:cs="宋体"/>
          <w:b w:val="0"/>
          <w:i w:val="0"/>
          <w:spacing w:val="0"/>
          <w:sz w:val="24"/>
        </w:rPr>
        <w:t>：占比约60-66%，驱动光合作用核心反应，促进茎叶伸长与发色</w:t>
      </w:r>
    </w:p>
    <w:p w14:paraId="5591C9AB">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绿光</w:t>
      </w:r>
      <w:r>
        <w:rPr>
          <w:rFonts w:ascii="宋体" w:hAnsi="宋体" w:eastAsia="宋体" w:cs="宋体"/>
          <w:b w:val="0"/>
          <w:i w:val="0"/>
          <w:spacing w:val="0"/>
          <w:sz w:val="24"/>
        </w:rPr>
        <w:t>：占比约10%，增强水下景观的色彩表现</w:t>
      </w:r>
    </w:p>
    <w:p w14:paraId="2D745A8B">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特殊光谱</w:t>
      </w:r>
      <w:r>
        <w:rPr>
          <w:rFonts w:ascii="宋体" w:hAnsi="宋体" w:eastAsia="宋体" w:cs="宋体"/>
          <w:b w:val="0"/>
          <w:i w:val="0"/>
          <w:spacing w:val="0"/>
          <w:sz w:val="24"/>
        </w:rPr>
        <w:t>：如LPS珊瑚缸需465nm蓝光占比80%，抑制褐藻生长</w:t>
      </w:r>
    </w:p>
    <w:p w14:paraId="3EC434C6">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光照强度与时长</w:t>
      </w:r>
    </w:p>
    <w:p w14:paraId="3DB4CE35">
      <w:pPr>
        <w:pageBreakBefore w:val="0"/>
        <w:wordWrap/>
        <w:spacing w:before="160" w:after="0"/>
        <w:ind w:left="0" w:right="0"/>
        <w:jc w:val="left"/>
        <w:textAlignment w:val="auto"/>
        <w:rPr>
          <w:sz w:val="24"/>
        </w:rPr>
      </w:pPr>
      <w:r>
        <w:rPr>
          <w:rFonts w:ascii="宋体" w:hAnsi="宋体" w:eastAsia="宋体" w:cs="宋体"/>
          <w:b w:val="0"/>
          <w:i w:val="0"/>
          <w:spacing w:val="0"/>
          <w:sz w:val="24"/>
        </w:rPr>
        <w:t>光照强度与时长需根据水草种类和缸体大小合理配置：</w:t>
      </w:r>
    </w:p>
    <w:p w14:paraId="47A1A344">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阳性草</w:t>
      </w:r>
      <w:r>
        <w:rPr>
          <w:rFonts w:ascii="宋体" w:hAnsi="宋体" w:eastAsia="宋体" w:cs="宋体"/>
          <w:b w:val="0"/>
          <w:i w:val="0"/>
          <w:spacing w:val="0"/>
          <w:sz w:val="24"/>
        </w:rPr>
        <w:t>：光照强度40-80+PAR，时长8-10小时</w:t>
      </w:r>
    </w:p>
    <w:p w14:paraId="107E2C15">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半阳性草</w:t>
      </w:r>
      <w:r>
        <w:rPr>
          <w:rFonts w:ascii="宋体" w:hAnsi="宋体" w:eastAsia="宋体" w:cs="宋体"/>
          <w:b w:val="0"/>
          <w:i w:val="0"/>
          <w:spacing w:val="0"/>
          <w:sz w:val="24"/>
        </w:rPr>
        <w:t>：光照强度20-40PAR，时长7-9小时</w:t>
      </w:r>
    </w:p>
    <w:p w14:paraId="6586790C">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半阴性草</w:t>
      </w:r>
      <w:r>
        <w:rPr>
          <w:rFonts w:ascii="宋体" w:hAnsi="宋体" w:eastAsia="宋体" w:cs="宋体"/>
          <w:b w:val="0"/>
          <w:i w:val="0"/>
          <w:spacing w:val="0"/>
          <w:sz w:val="24"/>
        </w:rPr>
        <w:t>：光照强度10-20PAR，时长6-8小时</w:t>
      </w:r>
    </w:p>
    <w:p w14:paraId="46C6ADFC">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阴性草</w:t>
      </w:r>
      <w:r>
        <w:rPr>
          <w:rFonts w:ascii="宋体" w:hAnsi="宋体" w:eastAsia="宋体" w:cs="宋体"/>
          <w:b w:val="0"/>
          <w:i w:val="0"/>
          <w:spacing w:val="0"/>
          <w:sz w:val="24"/>
        </w:rPr>
        <w:t>：光照强度&lt;10PAR，时长&lt;6小时</w:t>
      </w:r>
    </w:p>
    <w:p w14:paraId="5AAB091B">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光照周期</w:t>
      </w:r>
      <w:r>
        <w:rPr>
          <w:rFonts w:ascii="宋体" w:hAnsi="宋体" w:eastAsia="宋体" w:cs="宋体"/>
          <w:b w:val="0"/>
          <w:i w:val="0"/>
          <w:spacing w:val="0"/>
          <w:sz w:val="24"/>
        </w:rPr>
        <w:t>：模拟自然光照周期，通常设置为8-12小时/天，避免24小时长明灯</w:t>
      </w:r>
    </w:p>
    <w:p w14:paraId="4107B20C">
      <w:pPr>
        <w:pageBreakBefore w:val="0"/>
        <w:wordWrap/>
        <w:spacing w:before="160" w:after="0"/>
        <w:ind w:left="0" w:right="0"/>
        <w:jc w:val="left"/>
        <w:textAlignment w:val="auto"/>
        <w:rPr>
          <w:sz w:val="24"/>
        </w:rPr>
      </w:pPr>
      <w:r>
        <w:rPr>
          <w:rFonts w:ascii="宋体" w:hAnsi="宋体" w:eastAsia="宋体" w:cs="宋体"/>
          <w:b w:val="0"/>
          <w:i w:val="0"/>
          <w:spacing w:val="0"/>
          <w:sz w:val="24"/>
        </w:rPr>
        <w:t>光照设计需平衡水草生长需求与生物舒适度，过强光照可能导致生物应激和藻类爆发。</w:t>
      </w:r>
    </w:p>
    <w:p w14:paraId="367BA328">
      <w:pPr>
        <w:pageBreakBefore w:val="0"/>
        <w:wordWrap/>
        <w:spacing w:before="160" w:after="0"/>
        <w:ind w:left="0" w:right="0"/>
        <w:jc w:val="left"/>
        <w:textAlignment w:val="auto"/>
        <w:rPr>
          <w:rFonts w:ascii="宋体" w:hAnsi="宋体" w:eastAsia="宋体" w:cs="宋体"/>
          <w:b/>
          <w:i w:val="0"/>
          <w:spacing w:val="0"/>
          <w:sz w:val="24"/>
        </w:rPr>
      </w:pPr>
    </w:p>
    <w:p w14:paraId="364BD9C8">
      <w:pPr>
        <w:pageBreakBefore w:val="0"/>
        <w:wordWrap/>
        <w:spacing w:before="160" w:after="0"/>
        <w:ind w:left="0" w:right="0"/>
        <w:jc w:val="left"/>
        <w:textAlignment w:val="auto"/>
        <w:rPr>
          <w:sz w:val="24"/>
        </w:rPr>
      </w:pPr>
      <w:r>
        <w:rPr>
          <w:rFonts w:ascii="宋体" w:hAnsi="宋体" w:eastAsia="宋体" w:cs="宋体"/>
          <w:b/>
          <w:i w:val="0"/>
          <w:spacing w:val="0"/>
          <w:sz w:val="24"/>
        </w:rPr>
        <w:t>3.2.3 温控与加热设备</w:t>
      </w:r>
    </w:p>
    <w:p w14:paraId="78F23CEA">
      <w:pPr>
        <w:pageBreakBefore w:val="0"/>
        <w:wordWrap/>
        <w:spacing w:before="160" w:after="0"/>
        <w:ind w:left="0" w:right="0"/>
        <w:jc w:val="left"/>
        <w:textAlignment w:val="auto"/>
        <w:rPr>
          <w:sz w:val="24"/>
        </w:rPr>
      </w:pPr>
      <w:r>
        <w:rPr>
          <w:rFonts w:ascii="宋体" w:hAnsi="宋体" w:eastAsia="宋体" w:cs="宋体"/>
          <w:b w:val="0"/>
          <w:i w:val="0"/>
          <w:spacing w:val="0"/>
          <w:sz w:val="24"/>
        </w:rPr>
        <w:t>温控与加热设备是维持水族造景系统稳定运行的重要保障：</w:t>
      </w:r>
    </w:p>
    <w:p w14:paraId="056111B0">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加热棒</w:t>
      </w:r>
      <w:r>
        <w:rPr>
          <w:rFonts w:ascii="宋体" w:hAnsi="宋体" w:eastAsia="宋体" w:cs="宋体"/>
          <w:b w:val="0"/>
          <w:i w:val="0"/>
          <w:spacing w:val="0"/>
          <w:sz w:val="24"/>
        </w:rPr>
        <w:t>：常用功率为每10升水10-15W，如100升缸需100-150W加热棒</w:t>
      </w:r>
    </w:p>
    <w:p w14:paraId="1835A0F5">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温控器</w:t>
      </w:r>
      <w:r>
        <w:rPr>
          <w:rFonts w:ascii="宋体" w:hAnsi="宋体" w:eastAsia="宋体" w:cs="宋体"/>
          <w:b w:val="0"/>
          <w:i w:val="0"/>
          <w:spacing w:val="0"/>
          <w:sz w:val="24"/>
        </w:rPr>
        <w:t>：精度±0.5℃，可实现多段温度控制</w:t>
      </w:r>
    </w:p>
    <w:p w14:paraId="0C1BED67">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加热棒安装</w:t>
      </w:r>
      <w:r>
        <w:rPr>
          <w:rFonts w:ascii="宋体" w:hAnsi="宋体" w:eastAsia="宋体" w:cs="宋体"/>
          <w:b w:val="0"/>
          <w:i w:val="0"/>
          <w:spacing w:val="0"/>
          <w:sz w:val="24"/>
        </w:rPr>
        <w:t>：垂直放置于缸底角落，或使用加热棒支架固定，避免与装饰物直接接触</w:t>
      </w:r>
    </w:p>
    <w:p w14:paraId="61BD4223">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温度管理</w:t>
      </w:r>
      <w:r>
        <w:rPr>
          <w:rFonts w:ascii="宋体" w:hAnsi="宋体" w:eastAsia="宋体" w:cs="宋体"/>
          <w:b w:val="0"/>
          <w:i w:val="0"/>
          <w:spacing w:val="0"/>
          <w:sz w:val="24"/>
        </w:rPr>
        <w:t>：硝化细菌最适温度20-30℃，水草生长适温18-28℃，需根据生物需求调整</w:t>
      </w:r>
    </w:p>
    <w:p w14:paraId="49EC0446">
      <w:pPr>
        <w:pageBreakBefore w:val="0"/>
        <w:wordWrap/>
        <w:spacing w:before="160" w:after="0"/>
        <w:ind w:left="0" w:right="0"/>
        <w:jc w:val="left"/>
        <w:textAlignment w:val="auto"/>
        <w:rPr>
          <w:sz w:val="24"/>
        </w:rPr>
      </w:pPr>
      <w:r>
        <w:rPr>
          <w:rFonts w:ascii="宋体" w:hAnsi="宋体" w:eastAsia="宋体" w:cs="宋体"/>
          <w:b w:val="0"/>
          <w:i w:val="0"/>
          <w:spacing w:val="0"/>
          <w:sz w:val="24"/>
        </w:rPr>
        <w:t>温控设备需考虑美观性与功能性平衡，通常隐藏于缸体后方或底座内。</w:t>
      </w:r>
    </w:p>
    <w:p w14:paraId="30A849E2">
      <w:pPr>
        <w:pageBreakBefore w:val="0"/>
        <w:wordWrap/>
        <w:spacing w:before="160" w:after="0"/>
        <w:ind w:left="0" w:right="0"/>
        <w:jc w:val="left"/>
        <w:textAlignment w:val="auto"/>
        <w:rPr>
          <w:rFonts w:ascii="宋体" w:hAnsi="宋体" w:eastAsia="宋体" w:cs="宋体"/>
          <w:b/>
          <w:i w:val="0"/>
          <w:spacing w:val="0"/>
          <w:sz w:val="24"/>
        </w:rPr>
      </w:pPr>
    </w:p>
    <w:p w14:paraId="423DC204">
      <w:pPr>
        <w:pageBreakBefore w:val="0"/>
        <w:wordWrap/>
        <w:spacing w:before="160" w:after="0"/>
        <w:ind w:left="0" w:right="0"/>
        <w:jc w:val="left"/>
        <w:textAlignment w:val="auto"/>
        <w:rPr>
          <w:sz w:val="24"/>
        </w:rPr>
      </w:pPr>
      <w:r>
        <w:rPr>
          <w:rFonts w:ascii="宋体" w:hAnsi="宋体" w:eastAsia="宋体" w:cs="宋体"/>
          <w:b/>
          <w:i w:val="0"/>
          <w:spacing w:val="0"/>
          <w:sz w:val="24"/>
        </w:rPr>
        <w:t>3.2.4 水质监测与调节设备</w:t>
      </w:r>
    </w:p>
    <w:p w14:paraId="2F6609A3">
      <w:pPr>
        <w:pageBreakBefore w:val="0"/>
        <w:wordWrap/>
        <w:spacing w:before="160" w:after="0"/>
        <w:ind w:left="0" w:right="0"/>
        <w:jc w:val="left"/>
        <w:textAlignment w:val="auto"/>
        <w:rPr>
          <w:sz w:val="24"/>
        </w:rPr>
      </w:pPr>
      <w:r>
        <w:rPr>
          <w:rFonts w:ascii="宋体" w:hAnsi="宋体" w:eastAsia="宋体" w:cs="宋体"/>
          <w:b w:val="0"/>
          <w:i w:val="0"/>
          <w:spacing w:val="0"/>
          <w:sz w:val="24"/>
        </w:rPr>
        <w:t>水质监测与调节设备是实现精准管理和长期稳定的关键：</w:t>
      </w:r>
    </w:p>
    <w:p w14:paraId="16C39E9C">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pH计</w:t>
      </w:r>
      <w:r>
        <w:rPr>
          <w:rFonts w:ascii="宋体" w:hAnsi="宋体" w:eastAsia="宋体" w:cs="宋体"/>
          <w:b w:val="0"/>
          <w:i w:val="0"/>
          <w:spacing w:val="0"/>
          <w:sz w:val="24"/>
        </w:rPr>
        <w:t>：精度±0.1，实时监测pH变化</w:t>
      </w:r>
    </w:p>
    <w:p w14:paraId="44ADC544">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TDS/EC计</w:t>
      </w:r>
      <w:r>
        <w:rPr>
          <w:rFonts w:ascii="宋体" w:hAnsi="宋体" w:eastAsia="宋体" w:cs="宋体"/>
          <w:b w:val="0"/>
          <w:i w:val="0"/>
          <w:spacing w:val="0"/>
          <w:sz w:val="24"/>
        </w:rPr>
        <w:t>：监测水中溶解物质含量，指导肥料添加</w:t>
      </w:r>
    </w:p>
    <w:p w14:paraId="083A0DAA">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氨/亚硝酸盐/硝酸盐测试剂</w:t>
      </w:r>
      <w:r>
        <w:rPr>
          <w:rFonts w:ascii="宋体" w:hAnsi="宋体" w:eastAsia="宋体" w:cs="宋体"/>
          <w:b w:val="0"/>
          <w:i w:val="0"/>
          <w:spacing w:val="0"/>
          <w:sz w:val="24"/>
        </w:rPr>
        <w:t>：定期检测，评估生态系统的健康状况</w:t>
      </w:r>
    </w:p>
    <w:p w14:paraId="7201AD84">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智能监测系统</w:t>
      </w:r>
      <w:r>
        <w:rPr>
          <w:rFonts w:ascii="宋体" w:hAnsi="宋体" w:eastAsia="宋体" w:cs="宋体"/>
          <w:b w:val="0"/>
          <w:i w:val="0"/>
          <w:spacing w:val="0"/>
          <w:sz w:val="24"/>
        </w:rPr>
        <w:t>：集成多种传感器，通过APP实时监控和远程控制</w:t>
      </w:r>
    </w:p>
    <w:p w14:paraId="25AE4AC2">
      <w:pPr>
        <w:pageBreakBefore w:val="0"/>
        <w:wordWrap/>
        <w:spacing w:before="160" w:after="0"/>
        <w:ind w:left="0" w:right="0"/>
        <w:jc w:val="left"/>
        <w:textAlignment w:val="auto"/>
        <w:rPr>
          <w:sz w:val="24"/>
        </w:rPr>
      </w:pPr>
      <w:r>
        <w:rPr>
          <w:rFonts w:ascii="宋体" w:hAnsi="宋体" w:eastAsia="宋体" w:cs="宋体"/>
          <w:b w:val="0"/>
          <w:i w:val="0"/>
          <w:spacing w:val="0"/>
          <w:sz w:val="24"/>
        </w:rPr>
        <w:t>水质监测设备应定期校准，确保数据准确，为系统管理提供科学依据。</w:t>
      </w:r>
    </w:p>
    <w:p w14:paraId="25568F61">
      <w:pPr>
        <w:pageBreakBefore w:val="0"/>
        <w:wordWrap/>
        <w:spacing w:before="160" w:after="0"/>
        <w:ind w:left="0" w:right="0"/>
        <w:jc w:val="left"/>
        <w:textAlignment w:val="auto"/>
        <w:rPr>
          <w:rFonts w:ascii="宋体" w:hAnsi="宋体" w:eastAsia="宋体" w:cs="宋体"/>
          <w:b/>
          <w:i w:val="0"/>
          <w:spacing w:val="0"/>
          <w:sz w:val="28"/>
        </w:rPr>
      </w:pPr>
    </w:p>
    <w:p w14:paraId="0F9D86A2">
      <w:pPr>
        <w:pageBreakBefore w:val="0"/>
        <w:wordWrap/>
        <w:spacing w:before="160" w:after="0"/>
        <w:ind w:left="0" w:right="0"/>
        <w:jc w:val="left"/>
        <w:textAlignment w:val="auto"/>
        <w:rPr>
          <w:sz w:val="28"/>
        </w:rPr>
      </w:pPr>
      <w:r>
        <w:rPr>
          <w:rFonts w:ascii="宋体" w:hAnsi="宋体" w:eastAsia="宋体" w:cs="宋体"/>
          <w:b/>
          <w:i w:val="0"/>
          <w:spacing w:val="0"/>
          <w:sz w:val="28"/>
        </w:rPr>
        <w:t>3.3 创新技术与材料</w:t>
      </w:r>
    </w:p>
    <w:p w14:paraId="38806E08">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水族造景领域的技术创新与材料革新正引领行业向更高水平发展。</w:t>
      </w:r>
    </w:p>
    <w:p w14:paraId="674A45FE">
      <w:pPr>
        <w:pageBreakBefore w:val="0"/>
        <w:wordWrap/>
        <w:spacing w:before="160" w:after="0"/>
        <w:ind w:left="0" w:right="0"/>
        <w:jc w:val="left"/>
        <w:textAlignment w:val="auto"/>
        <w:rPr>
          <w:sz w:val="24"/>
        </w:rPr>
      </w:pPr>
      <w:r>
        <w:rPr>
          <w:rFonts w:ascii="宋体" w:hAnsi="宋体" w:eastAsia="宋体" w:cs="宋体"/>
          <w:b/>
          <w:i w:val="0"/>
          <w:spacing w:val="0"/>
          <w:sz w:val="24"/>
        </w:rPr>
        <w:t>3.3.1 智能控制系统</w:t>
      </w:r>
    </w:p>
    <w:p w14:paraId="068A4233">
      <w:pPr>
        <w:pageBreakBefore w:val="0"/>
        <w:wordWrap/>
        <w:spacing w:before="160" w:after="0"/>
        <w:ind w:left="0" w:right="0"/>
        <w:jc w:val="left"/>
        <w:textAlignment w:val="auto"/>
        <w:rPr>
          <w:sz w:val="24"/>
        </w:rPr>
      </w:pPr>
      <w:r>
        <w:rPr>
          <w:rFonts w:ascii="宋体" w:hAnsi="宋体" w:eastAsia="宋体" w:cs="宋体"/>
          <w:b w:val="0"/>
          <w:i w:val="0"/>
          <w:spacing w:val="0"/>
          <w:sz w:val="24"/>
        </w:rPr>
        <w:t>智能控制系统通过集成多种传感器和执行器，实现水族造景的自动化管理：</w:t>
      </w:r>
    </w:p>
    <w:p w14:paraId="2DEA55CE">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核心功能</w:t>
      </w:r>
      <w:r>
        <w:rPr>
          <w:rFonts w:ascii="宋体" w:hAnsi="宋体" w:eastAsia="宋体" w:cs="宋体"/>
          <w:b w:val="0"/>
          <w:i w:val="0"/>
          <w:spacing w:val="0"/>
          <w:sz w:val="24"/>
        </w:rPr>
        <w:t>：自动调节光照、温度、CO₂浓度等关键参数</w:t>
      </w:r>
    </w:p>
    <w:p w14:paraId="647203EC">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通信协议</w:t>
      </w:r>
      <w:r>
        <w:rPr>
          <w:rFonts w:ascii="宋体" w:hAnsi="宋体" w:eastAsia="宋体" w:cs="宋体"/>
          <w:b w:val="0"/>
          <w:i w:val="0"/>
          <w:spacing w:val="0"/>
          <w:sz w:val="24"/>
        </w:rPr>
        <w:t>：主流采用蓝牙（HC-05）和Wi-Fi（ESP8266）协议，支持MQTT等物联网协议</w:t>
      </w:r>
    </w:p>
    <w:p w14:paraId="14E85570">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控制逻辑</w:t>
      </w:r>
      <w:r>
        <w:rPr>
          <w:rFonts w:ascii="宋体" w:hAnsi="宋体" w:eastAsia="宋体" w:cs="宋体"/>
          <w:b w:val="0"/>
          <w:i w:val="0"/>
          <w:spacing w:val="0"/>
          <w:sz w:val="24"/>
        </w:rPr>
        <w:t>：采用多线程控制和中断控制，确保系统稳定运行</w:t>
      </w:r>
    </w:p>
    <w:p w14:paraId="3CD000AC">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应用场景</w:t>
      </w:r>
      <w:r>
        <w:rPr>
          <w:rFonts w:ascii="宋体" w:hAnsi="宋体" w:eastAsia="宋体" w:cs="宋体"/>
          <w:b w:val="0"/>
          <w:i w:val="0"/>
          <w:spacing w:val="0"/>
          <w:sz w:val="24"/>
        </w:rPr>
        <w:t>：特别适合长期出差或工作繁忙的爱好者，可实现远程管理</w:t>
      </w:r>
    </w:p>
    <w:p w14:paraId="393064F9">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发展趋势</w:t>
      </w:r>
      <w:r>
        <w:rPr>
          <w:rFonts w:ascii="宋体" w:hAnsi="宋体" w:eastAsia="宋体" w:cs="宋体"/>
          <w:b w:val="0"/>
          <w:i w:val="0"/>
          <w:spacing w:val="0"/>
          <w:sz w:val="24"/>
        </w:rPr>
        <w:t>：从简单控制向AI智能管理升级，如根据水草生长状态自动调整光照和CO₂</w:t>
      </w:r>
    </w:p>
    <w:p w14:paraId="176B69AA">
      <w:pPr>
        <w:pageBreakBefore w:val="0"/>
        <w:wordWrap/>
        <w:spacing w:before="160" w:after="0"/>
        <w:ind w:left="0" w:right="0"/>
        <w:jc w:val="left"/>
        <w:textAlignment w:val="auto"/>
        <w:rPr>
          <w:sz w:val="24"/>
        </w:rPr>
      </w:pPr>
      <w:r>
        <w:rPr>
          <w:rFonts w:ascii="宋体" w:hAnsi="宋体" w:eastAsia="宋体" w:cs="宋体"/>
          <w:b w:val="0"/>
          <w:i w:val="0"/>
          <w:spacing w:val="0"/>
          <w:sz w:val="24"/>
        </w:rPr>
        <w:t>智能控制系统的核心优势在于降低维护难度和提高系统稳定性，但需注意其不能完全替代人工干预，定期检查和调整仍是必要的。</w:t>
      </w:r>
    </w:p>
    <w:p w14:paraId="424C3593">
      <w:pPr>
        <w:pageBreakBefore w:val="0"/>
        <w:wordWrap/>
        <w:spacing w:before="160" w:after="0"/>
        <w:ind w:left="0" w:right="0"/>
        <w:jc w:val="left"/>
        <w:textAlignment w:val="auto"/>
        <w:rPr>
          <w:rFonts w:ascii="宋体" w:hAnsi="宋体" w:eastAsia="宋体" w:cs="宋体"/>
          <w:b/>
          <w:i w:val="0"/>
          <w:spacing w:val="0"/>
          <w:sz w:val="24"/>
        </w:rPr>
      </w:pPr>
    </w:p>
    <w:p w14:paraId="7BE0281F">
      <w:pPr>
        <w:pageBreakBefore w:val="0"/>
        <w:wordWrap/>
        <w:spacing w:before="160" w:after="0"/>
        <w:ind w:left="0" w:right="0"/>
        <w:jc w:val="left"/>
        <w:textAlignment w:val="auto"/>
        <w:rPr>
          <w:sz w:val="24"/>
        </w:rPr>
      </w:pPr>
      <w:r>
        <w:rPr>
          <w:rFonts w:ascii="宋体" w:hAnsi="宋体" w:eastAsia="宋体" w:cs="宋体"/>
          <w:b/>
          <w:i w:val="0"/>
          <w:spacing w:val="0"/>
          <w:sz w:val="24"/>
        </w:rPr>
        <w:t>3.3.2 新型生态材料</w:t>
      </w:r>
    </w:p>
    <w:p w14:paraId="3E47D689">
      <w:pPr>
        <w:pageBreakBefore w:val="0"/>
        <w:wordWrap/>
        <w:spacing w:before="160" w:after="0"/>
        <w:ind w:left="0" w:right="0"/>
        <w:jc w:val="left"/>
        <w:textAlignment w:val="auto"/>
        <w:rPr>
          <w:sz w:val="24"/>
        </w:rPr>
      </w:pPr>
      <w:r>
        <w:rPr>
          <w:rFonts w:ascii="宋体" w:hAnsi="宋体" w:eastAsia="宋体" w:cs="宋体"/>
          <w:b w:val="0"/>
          <w:i w:val="0"/>
          <w:spacing w:val="0"/>
          <w:sz w:val="24"/>
        </w:rPr>
        <w:t>新型生态材料通过创新设计和特殊处理，提供更优越的生态功能和美学效果：</w:t>
      </w:r>
    </w:p>
    <w:p w14:paraId="6E9CCE93">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生态陶粒</w:t>
      </w:r>
      <w:r>
        <w:rPr>
          <w:rFonts w:ascii="宋体" w:hAnsi="宋体" w:eastAsia="宋体" w:cs="宋体"/>
          <w:b w:val="0"/>
          <w:i w:val="0"/>
          <w:spacing w:val="0"/>
          <w:sz w:val="24"/>
        </w:rPr>
        <w:t>：具有特殊孔隙结构，有利于硝化细菌附着，同时提供美观的底床效果</w:t>
      </w:r>
    </w:p>
    <w:p w14:paraId="4F39C75B">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苔藓球</w:t>
      </w:r>
      <w:r>
        <w:rPr>
          <w:rFonts w:ascii="宋体" w:hAnsi="宋体" w:eastAsia="宋体" w:cs="宋体"/>
          <w:b w:val="0"/>
          <w:i w:val="0"/>
          <w:spacing w:val="0"/>
          <w:sz w:val="24"/>
        </w:rPr>
        <w:t>：将苔藓包裹在小石子上，形成独特的景观元素，同时提供生物附着场所</w:t>
      </w:r>
    </w:p>
    <w:p w14:paraId="6181118A">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生态底砂</w:t>
      </w:r>
      <w:r>
        <w:rPr>
          <w:rFonts w:ascii="宋体" w:hAnsi="宋体" w:eastAsia="宋体" w:cs="宋体"/>
          <w:b w:val="0"/>
          <w:i w:val="0"/>
          <w:spacing w:val="0"/>
          <w:sz w:val="24"/>
        </w:rPr>
        <w:t>：添加有益微生物和微量元素，促进水草生长和水质净化</w:t>
      </w:r>
    </w:p>
    <w:p w14:paraId="1E37AA2A">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生态滤材</w:t>
      </w:r>
      <w:r>
        <w:rPr>
          <w:rFonts w:ascii="宋体" w:hAnsi="宋体" w:eastAsia="宋体" w:cs="宋体"/>
          <w:b w:val="0"/>
          <w:i w:val="0"/>
          <w:spacing w:val="0"/>
          <w:sz w:val="24"/>
        </w:rPr>
        <w:t>：如纤维环、细菌屋等，专为硝化细菌设计，提高过滤效率</w:t>
      </w:r>
    </w:p>
    <w:p w14:paraId="5FDB9BE5">
      <w:pPr>
        <w:pageBreakBefore w:val="0"/>
        <w:wordWrap/>
        <w:spacing w:before="160" w:after="0"/>
        <w:ind w:left="0" w:right="0"/>
        <w:jc w:val="left"/>
        <w:textAlignment w:val="auto"/>
        <w:rPr>
          <w:sz w:val="24"/>
        </w:rPr>
      </w:pPr>
      <w:r>
        <w:rPr>
          <w:rFonts w:ascii="宋体" w:hAnsi="宋体" w:eastAsia="宋体" w:cs="宋体"/>
          <w:b w:val="0"/>
          <w:i w:val="0"/>
          <w:spacing w:val="0"/>
          <w:sz w:val="24"/>
        </w:rPr>
        <w:t>新型生态材料不仅提供更好的生态功能，还增强了景观的自然感和艺术性，是水族造景技术进步的重要体现。</w:t>
      </w:r>
    </w:p>
    <w:p w14:paraId="1CB02BD2">
      <w:pPr>
        <w:pageBreakBefore w:val="0"/>
        <w:wordWrap/>
        <w:spacing w:before="160" w:after="0"/>
        <w:ind w:left="0" w:right="0"/>
        <w:jc w:val="left"/>
        <w:textAlignment w:val="auto"/>
        <w:rPr>
          <w:rFonts w:ascii="宋体" w:hAnsi="宋体" w:eastAsia="宋体" w:cs="宋体"/>
          <w:b/>
          <w:i w:val="0"/>
          <w:spacing w:val="0"/>
          <w:sz w:val="24"/>
        </w:rPr>
      </w:pPr>
    </w:p>
    <w:p w14:paraId="4DD43D49">
      <w:pPr>
        <w:pageBreakBefore w:val="0"/>
        <w:wordWrap/>
        <w:spacing w:before="160" w:after="0"/>
        <w:ind w:left="0" w:right="0"/>
        <w:jc w:val="left"/>
        <w:textAlignment w:val="auto"/>
        <w:rPr>
          <w:sz w:val="24"/>
        </w:rPr>
      </w:pPr>
      <w:r>
        <w:rPr>
          <w:rFonts w:ascii="宋体" w:hAnsi="宋体" w:eastAsia="宋体" w:cs="宋体"/>
          <w:b/>
          <w:i w:val="0"/>
          <w:spacing w:val="0"/>
          <w:sz w:val="24"/>
        </w:rPr>
        <w:t>3.3.3 3D打印在造景中的应用</w:t>
      </w:r>
    </w:p>
    <w:p w14:paraId="6987915A">
      <w:pPr>
        <w:pageBreakBefore w:val="0"/>
        <w:wordWrap/>
        <w:spacing w:before="160" w:after="0"/>
        <w:ind w:left="0" w:right="0"/>
        <w:jc w:val="left"/>
        <w:textAlignment w:val="auto"/>
        <w:rPr>
          <w:sz w:val="24"/>
        </w:rPr>
      </w:pPr>
      <w:r>
        <w:rPr>
          <w:rFonts w:ascii="宋体" w:hAnsi="宋体" w:eastAsia="宋体" w:cs="宋体"/>
          <w:b w:val="0"/>
          <w:i w:val="0"/>
          <w:spacing w:val="0"/>
          <w:sz w:val="24"/>
        </w:rPr>
        <w:t>3D打印技术正逐渐应用于水族造景领域，提供前所未有的设计自由度：</w:t>
      </w:r>
    </w:p>
    <w:p w14:paraId="11ACAB48">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定制化造景</w:t>
      </w:r>
      <w:r>
        <w:rPr>
          <w:rFonts w:ascii="宋体" w:hAnsi="宋体" w:eastAsia="宋体" w:cs="宋体"/>
          <w:b w:val="0"/>
          <w:i w:val="0"/>
          <w:spacing w:val="0"/>
          <w:sz w:val="24"/>
        </w:rPr>
        <w:t>：可打印特定形状的沉木、石材或装饰物，实现个性化设计</w:t>
      </w:r>
    </w:p>
    <w:p w14:paraId="1746B651">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精准控制</w:t>
      </w:r>
      <w:r>
        <w:rPr>
          <w:rFonts w:ascii="宋体" w:hAnsi="宋体" w:eastAsia="宋体" w:cs="宋体"/>
          <w:b w:val="0"/>
          <w:i w:val="0"/>
          <w:spacing w:val="0"/>
          <w:sz w:val="24"/>
        </w:rPr>
        <w:t>：通过3D建模软件，精确控制造景元素的尺寸和比例</w:t>
      </w:r>
    </w:p>
    <w:p w14:paraId="4646E648">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成本效益</w:t>
      </w:r>
      <w:r>
        <w:rPr>
          <w:rFonts w:ascii="宋体" w:hAnsi="宋体" w:eastAsia="宋体" w:cs="宋体"/>
          <w:b w:val="0"/>
          <w:i w:val="0"/>
          <w:spacing w:val="0"/>
          <w:sz w:val="24"/>
        </w:rPr>
        <w:t>：批量生产可降低成本，提高材料利用率</w:t>
      </w:r>
    </w:p>
    <w:p w14:paraId="344FF21F">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创新应用</w:t>
      </w:r>
      <w:r>
        <w:rPr>
          <w:rFonts w:ascii="宋体" w:hAnsi="宋体" w:eastAsia="宋体" w:cs="宋体"/>
          <w:b w:val="0"/>
          <w:i w:val="0"/>
          <w:spacing w:val="0"/>
          <w:sz w:val="24"/>
        </w:rPr>
        <w:t>：如森渊3D背景贴纸，采用高清微喷工艺，近看能清晰分辨纹理层次，远看则形成自然背景</w:t>
      </w:r>
    </w:p>
    <w:p w14:paraId="01D767C2">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未来发展</w:t>
      </w:r>
      <w:r>
        <w:rPr>
          <w:rFonts w:ascii="宋体" w:hAnsi="宋体" w:eastAsia="宋体" w:cs="宋体"/>
          <w:b w:val="0"/>
          <w:i w:val="0"/>
          <w:spacing w:val="0"/>
          <w:sz w:val="24"/>
        </w:rPr>
        <w:t>：结合VR/AR技术，实现虚拟造景与实际造景的无缝对接，降低试错成本</w:t>
      </w:r>
    </w:p>
    <w:p w14:paraId="5CD3DD3D">
      <w:pPr>
        <w:pageBreakBefore w:val="0"/>
        <w:wordWrap/>
        <w:spacing w:before="160" w:after="0"/>
        <w:ind w:left="0" w:right="0"/>
        <w:jc w:val="left"/>
        <w:textAlignment w:val="auto"/>
        <w:rPr>
          <w:sz w:val="24"/>
        </w:rPr>
      </w:pPr>
      <w:r>
        <w:rPr>
          <w:rFonts w:ascii="宋体" w:hAnsi="宋体" w:eastAsia="宋体" w:cs="宋体"/>
          <w:b w:val="0"/>
          <w:i w:val="0"/>
          <w:spacing w:val="0"/>
          <w:sz w:val="24"/>
        </w:rPr>
        <w:t>3D打印技术为水族造景带来了新的可能性，使设计者能够实现更多复杂的构图和更精细的细节。</w:t>
      </w:r>
    </w:p>
    <w:p w14:paraId="4186ABCC">
      <w:pPr>
        <w:pageBreakBefore w:val="0"/>
        <w:wordWrap/>
        <w:spacing w:before="160" w:after="0"/>
        <w:ind w:left="0" w:right="0"/>
        <w:jc w:val="left"/>
        <w:textAlignment w:val="auto"/>
        <w:rPr>
          <w:rFonts w:ascii="宋体" w:hAnsi="宋体" w:eastAsia="宋体" w:cs="宋体"/>
          <w:b/>
          <w:i w:val="0"/>
          <w:spacing w:val="0"/>
          <w:sz w:val="36"/>
        </w:rPr>
      </w:pPr>
    </w:p>
    <w:p w14:paraId="343EC020">
      <w:pPr>
        <w:pageBreakBefore w:val="0"/>
        <w:wordWrap/>
        <w:spacing w:before="160" w:after="0"/>
        <w:ind w:left="0" w:right="0"/>
        <w:jc w:val="left"/>
        <w:textAlignment w:val="auto"/>
        <w:rPr>
          <w:sz w:val="36"/>
        </w:rPr>
      </w:pPr>
      <w:r>
        <w:rPr>
          <w:rFonts w:ascii="宋体" w:hAnsi="宋体" w:eastAsia="宋体" w:cs="宋体"/>
          <w:b/>
          <w:i w:val="0"/>
          <w:spacing w:val="0"/>
          <w:sz w:val="36"/>
        </w:rPr>
        <w:t>4. 施工与布景流程</w:t>
      </w:r>
    </w:p>
    <w:p w14:paraId="7BE7AA23">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水族造景的施工与布景流程是将设计原理和材料设备转化为实际景观的关键环节，</w:t>
      </w:r>
      <w:r>
        <w:rPr>
          <w:rFonts w:ascii="宋体" w:hAnsi="宋体" w:eastAsia="宋体" w:cs="宋体"/>
          <w:b/>
          <w:i w:val="0"/>
          <w:spacing w:val="0"/>
          <w:sz w:val="24"/>
        </w:rPr>
        <w:t>需要遵循科学的步骤和精确的操作，确保系统稳定运行和景观美观呈现</w:t>
      </w:r>
      <w:r>
        <w:rPr>
          <w:rFonts w:ascii="宋体" w:hAnsi="宋体" w:eastAsia="宋体" w:cs="宋体"/>
          <w:b w:val="0"/>
          <w:i w:val="0"/>
          <w:spacing w:val="0"/>
          <w:sz w:val="24"/>
        </w:rPr>
        <w:t>。施工流程可分为前期准备、施工步骤和细节处理与调整三个阶段。</w:t>
      </w:r>
    </w:p>
    <w:p w14:paraId="6A9C482F">
      <w:pPr>
        <w:pageBreakBefore w:val="0"/>
        <w:wordWrap/>
        <w:spacing w:before="160" w:after="0"/>
        <w:ind w:left="0" w:right="0"/>
        <w:jc w:val="left"/>
        <w:textAlignment w:val="auto"/>
        <w:rPr>
          <w:sz w:val="28"/>
        </w:rPr>
      </w:pPr>
      <w:r>
        <w:rPr>
          <w:rFonts w:ascii="宋体" w:hAnsi="宋体" w:eastAsia="宋体" w:cs="宋体"/>
          <w:b/>
          <w:i w:val="0"/>
          <w:spacing w:val="0"/>
          <w:sz w:val="28"/>
        </w:rPr>
        <w:t>4.1 前期准备</w:t>
      </w:r>
    </w:p>
    <w:p w14:paraId="6AD34C58">
      <w:pPr>
        <w:pageBreakBefore w:val="0"/>
        <w:wordWrap/>
        <w:spacing w:before="160" w:after="0"/>
        <w:ind w:left="0" w:right="0"/>
        <w:jc w:val="left"/>
        <w:textAlignment w:val="auto"/>
        <w:rPr>
          <w:sz w:val="24"/>
        </w:rPr>
      </w:pPr>
      <w:r>
        <w:rPr>
          <w:rFonts w:ascii="宋体" w:hAnsi="宋体" w:eastAsia="宋体" w:cs="宋体"/>
          <w:b w:val="0"/>
          <w:i w:val="0"/>
          <w:spacing w:val="0"/>
          <w:sz w:val="24"/>
        </w:rPr>
        <w:t>前期准备是水族造景成功的基础，包括需求分析、设计图纸制定和材料设备清单与采购等环节。</w:t>
      </w:r>
    </w:p>
    <w:p w14:paraId="1BF9682B">
      <w:pPr>
        <w:pageBreakBefore w:val="0"/>
        <w:wordWrap/>
        <w:spacing w:before="160" w:after="0"/>
        <w:ind w:left="0" w:right="0"/>
        <w:jc w:val="left"/>
        <w:textAlignment w:val="auto"/>
        <w:rPr>
          <w:sz w:val="24"/>
        </w:rPr>
      </w:pPr>
      <w:r>
        <w:rPr>
          <w:rFonts w:ascii="宋体" w:hAnsi="宋体" w:eastAsia="宋体" w:cs="宋体"/>
          <w:b/>
          <w:i w:val="0"/>
          <w:spacing w:val="0"/>
          <w:sz w:val="24"/>
        </w:rPr>
        <w:t>4.1.1 需求分析</w:t>
      </w:r>
    </w:p>
    <w:p w14:paraId="2EE213B4">
      <w:pPr>
        <w:pageBreakBefore w:val="0"/>
        <w:wordWrap/>
        <w:spacing w:before="160" w:after="0"/>
        <w:ind w:left="0" w:right="0"/>
        <w:jc w:val="left"/>
        <w:textAlignment w:val="auto"/>
        <w:rPr>
          <w:sz w:val="24"/>
        </w:rPr>
      </w:pPr>
      <w:r>
        <w:rPr>
          <w:rFonts w:ascii="宋体" w:hAnsi="宋体" w:eastAsia="宋体" w:cs="宋体"/>
          <w:b w:val="0"/>
          <w:i w:val="0"/>
          <w:spacing w:val="0"/>
          <w:sz w:val="24"/>
        </w:rPr>
        <w:t>需求分析是确定造景方向和风格的关键步骤，需考虑以下因素：</w:t>
      </w:r>
    </w:p>
    <w:p w14:paraId="79941172">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场景需求</w:t>
      </w:r>
      <w:r>
        <w:rPr>
          <w:rFonts w:ascii="宋体" w:hAnsi="宋体" w:eastAsia="宋体" w:cs="宋体"/>
          <w:b w:val="0"/>
          <w:i w:val="0"/>
          <w:spacing w:val="0"/>
          <w:sz w:val="24"/>
        </w:rPr>
        <w:t>：家庭缸注重美观与维护便利；商业缸强调视觉冲击和长期稳定性；教育缸侧重生态展示和教学功能</w:t>
      </w:r>
    </w:p>
    <w:p w14:paraId="7E0097F9">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预算限制</w:t>
      </w:r>
      <w:r>
        <w:rPr>
          <w:rFonts w:ascii="宋体" w:hAnsi="宋体" w:eastAsia="宋体" w:cs="宋体"/>
          <w:b w:val="0"/>
          <w:i w:val="0"/>
          <w:spacing w:val="0"/>
          <w:sz w:val="24"/>
        </w:rPr>
        <w:t>：根据预算确定材料和设备的档次，合理分配资源</w:t>
      </w:r>
    </w:p>
    <w:p w14:paraId="4D3845FB">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维护能力</w:t>
      </w:r>
      <w:r>
        <w:rPr>
          <w:rFonts w:ascii="宋体" w:hAnsi="宋体" w:eastAsia="宋体" w:cs="宋体"/>
          <w:b w:val="0"/>
          <w:i w:val="0"/>
          <w:spacing w:val="0"/>
          <w:sz w:val="24"/>
        </w:rPr>
        <w:t>：评估自身维护能力和时间投入，选择相应难度的造景类型</w:t>
      </w:r>
    </w:p>
    <w:p w14:paraId="164B0177">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生物选择</w:t>
      </w:r>
      <w:r>
        <w:rPr>
          <w:rFonts w:ascii="宋体" w:hAnsi="宋体" w:eastAsia="宋体" w:cs="宋体"/>
          <w:b w:val="0"/>
          <w:i w:val="0"/>
          <w:spacing w:val="0"/>
          <w:sz w:val="24"/>
        </w:rPr>
        <w:t>：根据喜好和养护能力，确定主要生物种类</w:t>
      </w:r>
    </w:p>
    <w:p w14:paraId="3C28D109">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风格偏好</w:t>
      </w:r>
      <w:r>
        <w:rPr>
          <w:rFonts w:ascii="宋体" w:hAnsi="宋体" w:eastAsia="宋体" w:cs="宋体"/>
          <w:b w:val="0"/>
          <w:i w:val="0"/>
          <w:spacing w:val="0"/>
          <w:sz w:val="24"/>
        </w:rPr>
        <w:t>：根据个人审美偏好，确定造景风格（如自然风格、荷兰式、日式等）</w:t>
      </w:r>
    </w:p>
    <w:p w14:paraId="7735D05E">
      <w:pPr>
        <w:pageBreakBefore w:val="0"/>
        <w:wordWrap/>
        <w:spacing w:before="160" w:after="0"/>
        <w:ind w:left="0" w:right="0"/>
        <w:jc w:val="left"/>
        <w:textAlignment w:val="auto"/>
        <w:rPr>
          <w:sz w:val="24"/>
        </w:rPr>
      </w:pPr>
      <w:r>
        <w:rPr>
          <w:rFonts w:ascii="宋体" w:hAnsi="宋体" w:eastAsia="宋体" w:cs="宋体"/>
          <w:b w:val="0"/>
          <w:i w:val="0"/>
          <w:spacing w:val="0"/>
          <w:sz w:val="24"/>
        </w:rPr>
        <w:t>需求分析需形成书面文档，明确造景目标、风格、材料和设备需求，为后续设计和施工提供指导。</w:t>
      </w:r>
    </w:p>
    <w:p w14:paraId="02CC641B">
      <w:pPr>
        <w:pageBreakBefore w:val="0"/>
        <w:wordWrap/>
        <w:spacing w:before="160" w:after="0"/>
        <w:ind w:left="0" w:right="0"/>
        <w:jc w:val="left"/>
        <w:textAlignment w:val="auto"/>
        <w:rPr>
          <w:rFonts w:ascii="宋体" w:hAnsi="宋体" w:eastAsia="宋体" w:cs="宋体"/>
          <w:b/>
          <w:i w:val="0"/>
          <w:spacing w:val="0"/>
          <w:sz w:val="24"/>
        </w:rPr>
      </w:pPr>
    </w:p>
    <w:p w14:paraId="7F84F111">
      <w:pPr>
        <w:pageBreakBefore w:val="0"/>
        <w:wordWrap/>
        <w:spacing w:before="160" w:after="0"/>
        <w:ind w:left="0" w:right="0"/>
        <w:jc w:val="left"/>
        <w:textAlignment w:val="auto"/>
        <w:rPr>
          <w:sz w:val="24"/>
        </w:rPr>
      </w:pPr>
      <w:r>
        <w:rPr>
          <w:rFonts w:ascii="宋体" w:hAnsi="宋体" w:eastAsia="宋体" w:cs="宋体"/>
          <w:b/>
          <w:i w:val="0"/>
          <w:spacing w:val="0"/>
          <w:sz w:val="24"/>
        </w:rPr>
        <w:t>4.1.2 设计图纸与方案制定</w:t>
      </w:r>
    </w:p>
    <w:p w14:paraId="267A4F17">
      <w:pPr>
        <w:pageBreakBefore w:val="0"/>
        <w:wordWrap/>
        <w:spacing w:before="160" w:after="0"/>
        <w:ind w:left="0" w:right="0"/>
        <w:jc w:val="left"/>
        <w:textAlignment w:val="auto"/>
        <w:rPr>
          <w:sz w:val="24"/>
        </w:rPr>
      </w:pPr>
      <w:r>
        <w:rPr>
          <w:rFonts w:ascii="宋体" w:hAnsi="宋体" w:eastAsia="宋体" w:cs="宋体"/>
          <w:b w:val="0"/>
          <w:i w:val="0"/>
          <w:spacing w:val="0"/>
          <w:sz w:val="24"/>
        </w:rPr>
        <w:t>设计图纸与方案制定是将美学设计原则转化为具体施工方案的关键环节：</w:t>
      </w:r>
    </w:p>
    <w:p w14:paraId="2A1C9AEB">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平面布局</w:t>
      </w:r>
      <w:r>
        <w:rPr>
          <w:rFonts w:ascii="宋体" w:hAnsi="宋体" w:eastAsia="宋体" w:cs="宋体"/>
          <w:b w:val="0"/>
          <w:i w:val="0"/>
          <w:spacing w:val="0"/>
          <w:sz w:val="24"/>
        </w:rPr>
        <w:t>：绘制缸体平面图，标注底床高度、主要造景元素位置等</w:t>
      </w:r>
    </w:p>
    <w:p w14:paraId="352EC84D">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立体效果</w:t>
      </w:r>
      <w:r>
        <w:rPr>
          <w:rFonts w:ascii="宋体" w:hAnsi="宋体" w:eastAsia="宋体" w:cs="宋体"/>
          <w:b w:val="0"/>
          <w:i w:val="0"/>
          <w:spacing w:val="0"/>
          <w:sz w:val="24"/>
        </w:rPr>
        <w:t>：通过3D建模软件模拟造景效果，评估视觉效果和空间利用</w:t>
      </w:r>
    </w:p>
    <w:p w14:paraId="236ADAE9">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材料清单</w:t>
      </w:r>
      <w:r>
        <w:rPr>
          <w:rFonts w:ascii="宋体" w:hAnsi="宋体" w:eastAsia="宋体" w:cs="宋体"/>
          <w:b w:val="0"/>
          <w:i w:val="0"/>
          <w:spacing w:val="0"/>
          <w:sz w:val="24"/>
        </w:rPr>
        <w:t>：列出所需水草、沉木、石材等素材的种类、数量和规格</w:t>
      </w:r>
    </w:p>
    <w:p w14:paraId="04BD3772">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设备配置</w:t>
      </w:r>
      <w:r>
        <w:rPr>
          <w:rFonts w:ascii="宋体" w:hAnsi="宋体" w:eastAsia="宋体" w:cs="宋体"/>
          <w:b w:val="0"/>
          <w:i w:val="0"/>
          <w:spacing w:val="0"/>
          <w:sz w:val="24"/>
        </w:rPr>
        <w:t>：确定过滤系统、照明系统、温控系统等设备的型号和参数</w:t>
      </w:r>
    </w:p>
    <w:p w14:paraId="01F80573">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施工步骤</w:t>
      </w:r>
      <w:r>
        <w:rPr>
          <w:rFonts w:ascii="宋体" w:hAnsi="宋体" w:eastAsia="宋体" w:cs="宋体"/>
          <w:b w:val="0"/>
          <w:i w:val="0"/>
          <w:spacing w:val="0"/>
          <w:sz w:val="24"/>
        </w:rPr>
        <w:t>：制定详细的施工步骤和时间表，确保施工有序进行</w:t>
      </w:r>
    </w:p>
    <w:p w14:paraId="4290D66F">
      <w:pPr>
        <w:pageBreakBefore w:val="0"/>
        <w:wordWrap/>
        <w:spacing w:before="160" w:after="0"/>
        <w:ind w:left="0" w:right="0"/>
        <w:jc w:val="left"/>
        <w:textAlignment w:val="auto"/>
        <w:rPr>
          <w:sz w:val="24"/>
        </w:rPr>
      </w:pPr>
      <w:r>
        <w:rPr>
          <w:rFonts w:ascii="宋体" w:hAnsi="宋体" w:eastAsia="宋体" w:cs="宋体"/>
          <w:b w:val="0"/>
          <w:i w:val="0"/>
          <w:spacing w:val="0"/>
          <w:sz w:val="24"/>
        </w:rPr>
        <w:t>设计图纸应包含多角度视图，特别是从观赏角度（通常是正面）的效果图，为施工提供直观参考。方案制定需考虑施工难度和时间成本，确保在合理时间内完成造景。</w:t>
      </w:r>
    </w:p>
    <w:p w14:paraId="55582A39">
      <w:pPr>
        <w:pageBreakBefore w:val="0"/>
        <w:wordWrap/>
        <w:spacing w:before="160" w:after="0"/>
        <w:ind w:left="0" w:right="0"/>
        <w:jc w:val="left"/>
        <w:textAlignment w:val="auto"/>
        <w:rPr>
          <w:rFonts w:ascii="宋体" w:hAnsi="宋体" w:eastAsia="宋体" w:cs="宋体"/>
          <w:b/>
          <w:i w:val="0"/>
          <w:spacing w:val="0"/>
          <w:sz w:val="24"/>
        </w:rPr>
      </w:pPr>
    </w:p>
    <w:p w14:paraId="124E9E57">
      <w:pPr>
        <w:pageBreakBefore w:val="0"/>
        <w:wordWrap/>
        <w:spacing w:before="160" w:after="0"/>
        <w:ind w:left="0" w:right="0"/>
        <w:jc w:val="left"/>
        <w:textAlignment w:val="auto"/>
        <w:rPr>
          <w:sz w:val="24"/>
        </w:rPr>
      </w:pPr>
      <w:r>
        <w:rPr>
          <w:rFonts w:ascii="宋体" w:hAnsi="宋体" w:eastAsia="宋体" w:cs="宋体"/>
          <w:b/>
          <w:i w:val="0"/>
          <w:spacing w:val="0"/>
          <w:sz w:val="24"/>
        </w:rPr>
        <w:t>4.1.3 材料设备清单与采购</w:t>
      </w:r>
    </w:p>
    <w:p w14:paraId="329EB7D2">
      <w:pPr>
        <w:pageBreakBefore w:val="0"/>
        <w:wordWrap/>
        <w:spacing w:before="160" w:after="0"/>
        <w:ind w:left="0" w:right="0"/>
        <w:jc w:val="left"/>
        <w:textAlignment w:val="auto"/>
        <w:rPr>
          <w:sz w:val="24"/>
        </w:rPr>
      </w:pPr>
      <w:r>
        <w:rPr>
          <w:rFonts w:ascii="宋体" w:hAnsi="宋体" w:eastAsia="宋体" w:cs="宋体"/>
          <w:b w:val="0"/>
          <w:i w:val="0"/>
          <w:spacing w:val="0"/>
          <w:sz w:val="24"/>
        </w:rPr>
        <w:t>材料设备清单与采购是确保施工顺利进行的基础，需特别注意以下几点：</w:t>
      </w:r>
    </w:p>
    <w:p w14:paraId="36F7423E">
      <w:pPr>
        <w:pageBreakBefore w:val="0"/>
        <w:numPr>
          <w:ilvl w:val="0"/>
          <w:numId w:val="46"/>
        </w:numPr>
        <w:wordWrap/>
        <w:spacing w:before="160" w:after="0"/>
        <w:ind w:left="440" w:right="0" w:hanging="440"/>
        <w:jc w:val="left"/>
        <w:textAlignment w:val="auto"/>
        <w:rPr>
          <w:sz w:val="24"/>
        </w:rPr>
      </w:pPr>
      <w:r>
        <w:rPr>
          <w:rFonts w:ascii="宋体" w:hAnsi="宋体" w:eastAsia="宋体" w:cs="宋体"/>
          <w:b/>
          <w:i w:val="0"/>
          <w:spacing w:val="0"/>
          <w:sz w:val="24"/>
        </w:rPr>
        <w:t>材料规格</w:t>
      </w:r>
      <w:r>
        <w:rPr>
          <w:rFonts w:ascii="宋体" w:hAnsi="宋体" w:eastAsia="宋体" w:cs="宋体"/>
          <w:b w:val="0"/>
          <w:i w:val="0"/>
          <w:spacing w:val="0"/>
          <w:sz w:val="24"/>
        </w:rPr>
        <w:t>：明确水草、沉木、石材等素材的尺寸、数量和质量要求</w:t>
      </w:r>
    </w:p>
    <w:p w14:paraId="0E1637DA">
      <w:pPr>
        <w:pageBreakBefore w:val="0"/>
        <w:numPr>
          <w:ilvl w:val="0"/>
          <w:numId w:val="46"/>
        </w:numPr>
        <w:wordWrap/>
        <w:spacing w:before="160" w:after="0"/>
        <w:ind w:left="440" w:right="0" w:hanging="440"/>
        <w:jc w:val="left"/>
        <w:textAlignment w:val="auto"/>
        <w:rPr>
          <w:sz w:val="24"/>
        </w:rPr>
      </w:pPr>
      <w:r>
        <w:rPr>
          <w:rFonts w:ascii="宋体" w:hAnsi="宋体" w:eastAsia="宋体" w:cs="宋体"/>
          <w:b/>
          <w:i w:val="0"/>
          <w:spacing w:val="0"/>
          <w:sz w:val="24"/>
        </w:rPr>
        <w:t>设备参数</w:t>
      </w:r>
      <w:r>
        <w:rPr>
          <w:rFonts w:ascii="宋体" w:hAnsi="宋体" w:eastAsia="宋体" w:cs="宋体"/>
          <w:b w:val="0"/>
          <w:i w:val="0"/>
          <w:spacing w:val="0"/>
          <w:sz w:val="24"/>
        </w:rPr>
        <w:t>：精确记录过滤流量、光照强度、加热功率等关键参数</w:t>
      </w:r>
    </w:p>
    <w:p w14:paraId="04FF4BB8">
      <w:pPr>
        <w:pageBreakBefore w:val="0"/>
        <w:numPr>
          <w:ilvl w:val="0"/>
          <w:numId w:val="46"/>
        </w:numPr>
        <w:wordWrap/>
        <w:spacing w:before="160" w:after="0"/>
        <w:ind w:left="440" w:right="0" w:hanging="440"/>
        <w:jc w:val="left"/>
        <w:textAlignment w:val="auto"/>
        <w:rPr>
          <w:sz w:val="24"/>
        </w:rPr>
      </w:pPr>
      <w:r>
        <w:rPr>
          <w:rFonts w:ascii="宋体" w:hAnsi="宋体" w:eastAsia="宋体" w:cs="宋体"/>
          <w:b/>
          <w:i w:val="0"/>
          <w:spacing w:val="0"/>
          <w:sz w:val="24"/>
        </w:rPr>
        <w:t>采购渠道</w:t>
      </w:r>
      <w:r>
        <w:rPr>
          <w:rFonts w:ascii="宋体" w:hAnsi="宋体" w:eastAsia="宋体" w:cs="宋体"/>
          <w:b w:val="0"/>
          <w:i w:val="0"/>
          <w:spacing w:val="0"/>
          <w:sz w:val="24"/>
        </w:rPr>
        <w:t>：选择正规渠道采购，避免劣质材料和设备影响系统稳定性</w:t>
      </w:r>
    </w:p>
    <w:p w14:paraId="2E1ED570">
      <w:pPr>
        <w:pageBreakBefore w:val="0"/>
        <w:numPr>
          <w:ilvl w:val="0"/>
          <w:numId w:val="46"/>
        </w:numPr>
        <w:wordWrap/>
        <w:spacing w:before="160" w:after="0"/>
        <w:ind w:left="440" w:right="0" w:hanging="440"/>
        <w:jc w:val="left"/>
        <w:textAlignment w:val="auto"/>
        <w:rPr>
          <w:sz w:val="24"/>
        </w:rPr>
      </w:pPr>
      <w:r>
        <w:rPr>
          <w:rFonts w:ascii="宋体" w:hAnsi="宋体" w:eastAsia="宋体" w:cs="宋体"/>
          <w:b/>
          <w:i w:val="0"/>
          <w:spacing w:val="0"/>
          <w:sz w:val="24"/>
        </w:rPr>
        <w:t>预算控制</w:t>
      </w:r>
      <w:r>
        <w:rPr>
          <w:rFonts w:ascii="宋体" w:hAnsi="宋体" w:eastAsia="宋体" w:cs="宋体"/>
          <w:b w:val="0"/>
          <w:i w:val="0"/>
          <w:spacing w:val="0"/>
          <w:sz w:val="24"/>
        </w:rPr>
        <w:t>：根据需求分析制定预算，并严格控制采购成本</w:t>
      </w:r>
    </w:p>
    <w:p w14:paraId="31C6C9B5">
      <w:pPr>
        <w:pageBreakBefore w:val="0"/>
        <w:numPr>
          <w:ilvl w:val="0"/>
          <w:numId w:val="46"/>
        </w:numPr>
        <w:wordWrap/>
        <w:spacing w:before="160" w:after="0"/>
        <w:ind w:left="440" w:right="0" w:hanging="440"/>
        <w:jc w:val="left"/>
        <w:textAlignment w:val="auto"/>
        <w:rPr>
          <w:sz w:val="24"/>
        </w:rPr>
      </w:pPr>
      <w:r>
        <w:rPr>
          <w:rFonts w:ascii="宋体" w:hAnsi="宋体" w:eastAsia="宋体" w:cs="宋体"/>
          <w:b/>
          <w:i w:val="0"/>
          <w:spacing w:val="0"/>
          <w:sz w:val="24"/>
        </w:rPr>
        <w:t>备用材料</w:t>
      </w:r>
      <w:r>
        <w:rPr>
          <w:rFonts w:ascii="宋体" w:hAnsi="宋体" w:eastAsia="宋体" w:cs="宋体"/>
          <w:b w:val="0"/>
          <w:i w:val="0"/>
          <w:spacing w:val="0"/>
          <w:sz w:val="24"/>
        </w:rPr>
        <w:t>：准备少量备用材料，应对施工中的意外情况</w:t>
      </w:r>
    </w:p>
    <w:p w14:paraId="069B74CE">
      <w:pPr>
        <w:pageBreakBefore w:val="0"/>
        <w:wordWrap/>
        <w:spacing w:before="160" w:after="0"/>
        <w:ind w:left="0" w:right="0"/>
        <w:jc w:val="left"/>
        <w:textAlignment w:val="auto"/>
        <w:rPr>
          <w:sz w:val="24"/>
        </w:rPr>
      </w:pPr>
      <w:r>
        <w:rPr>
          <w:rFonts w:ascii="宋体" w:hAnsi="宋体" w:eastAsia="宋体" w:cs="宋体"/>
          <w:b w:val="0"/>
          <w:i w:val="0"/>
          <w:spacing w:val="0"/>
          <w:sz w:val="24"/>
        </w:rPr>
        <w:t>材料设备采购完成后，应进行初步检查，确保无损坏和质量问题，为后续施工奠定基础。</w:t>
      </w:r>
    </w:p>
    <w:p w14:paraId="1B703E93">
      <w:pPr>
        <w:pageBreakBefore w:val="0"/>
        <w:wordWrap/>
        <w:spacing w:before="160" w:after="0"/>
        <w:ind w:left="0" w:right="0"/>
        <w:jc w:val="left"/>
        <w:textAlignment w:val="auto"/>
        <w:rPr>
          <w:rFonts w:ascii="宋体" w:hAnsi="宋体" w:eastAsia="宋体" w:cs="宋体"/>
          <w:b/>
          <w:i w:val="0"/>
          <w:spacing w:val="0"/>
          <w:sz w:val="28"/>
        </w:rPr>
      </w:pPr>
    </w:p>
    <w:p w14:paraId="15EE71E4">
      <w:pPr>
        <w:pageBreakBefore w:val="0"/>
        <w:wordWrap/>
        <w:spacing w:before="160" w:after="0"/>
        <w:ind w:left="0" w:right="0"/>
        <w:jc w:val="left"/>
        <w:textAlignment w:val="auto"/>
        <w:rPr>
          <w:sz w:val="28"/>
        </w:rPr>
      </w:pPr>
      <w:r>
        <w:rPr>
          <w:rFonts w:ascii="宋体" w:hAnsi="宋体" w:eastAsia="宋体" w:cs="宋体"/>
          <w:b/>
          <w:i w:val="0"/>
          <w:spacing w:val="0"/>
          <w:sz w:val="28"/>
        </w:rPr>
        <w:t>4.2 施工步骤</w:t>
      </w:r>
    </w:p>
    <w:p w14:paraId="6593B5BE">
      <w:pPr>
        <w:pageBreakBefore w:val="0"/>
        <w:wordWrap/>
        <w:spacing w:before="160" w:after="0"/>
        <w:ind w:left="0" w:right="0"/>
        <w:jc w:val="left"/>
        <w:textAlignment w:val="auto"/>
        <w:rPr>
          <w:sz w:val="24"/>
        </w:rPr>
      </w:pPr>
      <w:r>
        <w:rPr>
          <w:rFonts w:ascii="宋体" w:hAnsi="宋体" w:eastAsia="宋体" w:cs="宋体"/>
          <w:b w:val="0"/>
          <w:i w:val="0"/>
          <w:spacing w:val="0"/>
          <w:sz w:val="24"/>
        </w:rPr>
        <w:t>施工步骤是将设计转化为实际景观的具体操作，需按照科学的顺序和精确的方法执行。</w:t>
      </w:r>
    </w:p>
    <w:p w14:paraId="03CD6B6A">
      <w:pPr>
        <w:pageBreakBefore w:val="0"/>
        <w:wordWrap/>
        <w:spacing w:before="160" w:after="0"/>
        <w:ind w:left="0" w:right="0"/>
        <w:jc w:val="left"/>
        <w:textAlignment w:val="auto"/>
        <w:rPr>
          <w:sz w:val="24"/>
        </w:rPr>
      </w:pPr>
      <w:r>
        <w:rPr>
          <w:rFonts w:ascii="宋体" w:hAnsi="宋体" w:eastAsia="宋体" w:cs="宋体"/>
          <w:b/>
          <w:i w:val="0"/>
          <w:spacing w:val="0"/>
          <w:sz w:val="24"/>
        </w:rPr>
        <w:t>4.2.1 开缸准备（消毒、设备安装）</w:t>
      </w:r>
    </w:p>
    <w:p w14:paraId="200B0FF7">
      <w:pPr>
        <w:pageBreakBefore w:val="0"/>
        <w:wordWrap/>
        <w:spacing w:before="160" w:after="0"/>
        <w:ind w:left="0" w:right="0"/>
        <w:jc w:val="left"/>
        <w:textAlignment w:val="auto"/>
        <w:rPr>
          <w:sz w:val="24"/>
        </w:rPr>
      </w:pPr>
      <w:r>
        <w:rPr>
          <w:rFonts w:ascii="宋体" w:hAnsi="宋体" w:eastAsia="宋体" w:cs="宋体"/>
          <w:b w:val="0"/>
          <w:i w:val="0"/>
          <w:spacing w:val="0"/>
          <w:sz w:val="24"/>
        </w:rPr>
        <w:t>开缸准备是确保系统安全运行的第一步，包括缸体消毒和设备安装：</w:t>
      </w:r>
    </w:p>
    <w:p w14:paraId="0C5FE420">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缸体消毒</w:t>
      </w:r>
    </w:p>
    <w:p w14:paraId="7A412804">
      <w:pPr>
        <w:pageBreakBefore w:val="0"/>
        <w:wordWrap/>
        <w:spacing w:before="160" w:after="0"/>
        <w:ind w:left="0" w:right="0"/>
        <w:jc w:val="left"/>
        <w:textAlignment w:val="auto"/>
        <w:rPr>
          <w:sz w:val="24"/>
        </w:rPr>
      </w:pPr>
      <w:r>
        <w:rPr>
          <w:rFonts w:ascii="宋体" w:hAnsi="宋体" w:eastAsia="宋体" w:cs="宋体"/>
          <w:b w:val="0"/>
          <w:i w:val="0"/>
          <w:spacing w:val="0"/>
          <w:sz w:val="24"/>
        </w:rPr>
        <w:t>缸体消毒是防止病原微生物污染的关键步骤：</w:t>
      </w:r>
    </w:p>
    <w:p w14:paraId="5A3C5C18">
      <w:pPr>
        <w:pageBreakBefore w:val="0"/>
        <w:numPr>
          <w:ilvl w:val="0"/>
          <w:numId w:val="47"/>
        </w:numPr>
        <w:wordWrap/>
        <w:spacing w:before="160" w:after="0"/>
        <w:ind w:left="440" w:right="0" w:hanging="440"/>
        <w:jc w:val="left"/>
        <w:textAlignment w:val="auto"/>
        <w:rPr>
          <w:sz w:val="24"/>
        </w:rPr>
      </w:pPr>
      <w:r>
        <w:rPr>
          <w:rFonts w:ascii="宋体" w:hAnsi="宋体" w:eastAsia="宋体" w:cs="宋体"/>
          <w:b/>
          <w:i w:val="0"/>
          <w:spacing w:val="0"/>
          <w:sz w:val="24"/>
        </w:rPr>
        <w:t>聚维酮碘消毒</w:t>
      </w:r>
      <w:r>
        <w:rPr>
          <w:rFonts w:ascii="宋体" w:hAnsi="宋体" w:eastAsia="宋体" w:cs="宋体"/>
          <w:b w:val="0"/>
          <w:i w:val="0"/>
          <w:spacing w:val="0"/>
          <w:sz w:val="24"/>
        </w:rPr>
        <w:t>：浓度0.1-0.3ppm（有效碘），全缸泼洒后静置24小时，然后彻底换水</w:t>
      </w:r>
    </w:p>
    <w:p w14:paraId="2FE6F183">
      <w:pPr>
        <w:pageBreakBefore w:val="0"/>
        <w:numPr>
          <w:ilvl w:val="0"/>
          <w:numId w:val="47"/>
        </w:numPr>
        <w:wordWrap/>
        <w:spacing w:before="160" w:after="0"/>
        <w:ind w:left="440" w:right="0" w:hanging="440"/>
        <w:jc w:val="left"/>
        <w:textAlignment w:val="auto"/>
        <w:rPr>
          <w:sz w:val="24"/>
        </w:rPr>
      </w:pPr>
      <w:r>
        <w:rPr>
          <w:rFonts w:ascii="宋体" w:hAnsi="宋体" w:eastAsia="宋体" w:cs="宋体"/>
          <w:b/>
          <w:i w:val="0"/>
          <w:spacing w:val="0"/>
          <w:sz w:val="24"/>
        </w:rPr>
        <w:t>消毒注意事项</w:t>
      </w:r>
      <w:r>
        <w:rPr>
          <w:rFonts w:ascii="宋体" w:hAnsi="宋体" w:eastAsia="宋体" w:cs="宋体"/>
          <w:b w:val="0"/>
          <w:i w:val="0"/>
          <w:spacing w:val="0"/>
          <w:sz w:val="24"/>
        </w:rPr>
        <w:t>：消毒剂需与水体充分混合，避免死角；消毒后需彻底清洗，防止残留影响生物健康</w:t>
      </w:r>
    </w:p>
    <w:p w14:paraId="077ECE7F">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2F1887A8">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设备安装</w:t>
      </w:r>
    </w:p>
    <w:p w14:paraId="37391420">
      <w:pPr>
        <w:pageBreakBefore w:val="0"/>
        <w:wordWrap/>
        <w:spacing w:before="160" w:after="0"/>
        <w:ind w:left="0" w:right="0"/>
        <w:jc w:val="left"/>
        <w:textAlignment w:val="auto"/>
        <w:rPr>
          <w:sz w:val="24"/>
        </w:rPr>
      </w:pPr>
      <w:r>
        <w:rPr>
          <w:rFonts w:ascii="宋体" w:hAnsi="宋体" w:eastAsia="宋体" w:cs="宋体"/>
          <w:b w:val="0"/>
          <w:i w:val="0"/>
          <w:spacing w:val="0"/>
          <w:sz w:val="24"/>
        </w:rPr>
        <w:t>设备安装需遵循"先测试后安装"的原则，确保设备正常工作：</w:t>
      </w:r>
    </w:p>
    <w:p w14:paraId="12E9E970">
      <w:pPr>
        <w:pageBreakBefore w:val="0"/>
        <w:numPr>
          <w:ilvl w:val="0"/>
          <w:numId w:val="48"/>
        </w:numPr>
        <w:wordWrap/>
        <w:spacing w:before="160" w:after="0"/>
        <w:ind w:left="440" w:right="0" w:hanging="440"/>
        <w:jc w:val="left"/>
        <w:textAlignment w:val="auto"/>
        <w:rPr>
          <w:sz w:val="24"/>
        </w:rPr>
      </w:pPr>
      <w:r>
        <w:rPr>
          <w:rFonts w:ascii="宋体" w:hAnsi="宋体" w:eastAsia="宋体" w:cs="宋体"/>
          <w:b/>
          <w:i w:val="0"/>
          <w:spacing w:val="0"/>
          <w:sz w:val="24"/>
        </w:rPr>
        <w:t>过滤系统安装</w:t>
      </w:r>
      <w:r>
        <w:rPr>
          <w:rFonts w:ascii="宋体" w:hAnsi="宋体" w:eastAsia="宋体" w:cs="宋体"/>
          <w:b w:val="0"/>
          <w:i w:val="0"/>
          <w:spacing w:val="0"/>
          <w:sz w:val="24"/>
        </w:rPr>
        <w:t>：先在缸外测试水泵流量和过滤效果，确认正常后再安装到缸体</w:t>
      </w:r>
    </w:p>
    <w:p w14:paraId="58570F3C">
      <w:pPr>
        <w:pageBreakBefore w:val="0"/>
        <w:numPr>
          <w:ilvl w:val="0"/>
          <w:numId w:val="48"/>
        </w:numPr>
        <w:wordWrap/>
        <w:spacing w:before="160" w:after="0"/>
        <w:ind w:left="440" w:right="0" w:hanging="440"/>
        <w:jc w:val="left"/>
        <w:textAlignment w:val="auto"/>
        <w:rPr>
          <w:sz w:val="24"/>
        </w:rPr>
      </w:pPr>
      <w:r>
        <w:rPr>
          <w:rFonts w:ascii="宋体" w:hAnsi="宋体" w:eastAsia="宋体" w:cs="宋体"/>
          <w:b/>
          <w:i w:val="0"/>
          <w:spacing w:val="0"/>
          <w:sz w:val="24"/>
        </w:rPr>
        <w:t>照明系统安装</w:t>
      </w:r>
      <w:r>
        <w:rPr>
          <w:rFonts w:ascii="宋体" w:hAnsi="宋体" w:eastAsia="宋体" w:cs="宋体"/>
          <w:b w:val="0"/>
          <w:i w:val="0"/>
          <w:spacing w:val="0"/>
          <w:sz w:val="24"/>
        </w:rPr>
        <w:t>：测试灯光亮度、色温和定时功能，确保符合设计要求</w:t>
      </w:r>
    </w:p>
    <w:p w14:paraId="7C5D87F0">
      <w:pPr>
        <w:pageBreakBefore w:val="0"/>
        <w:numPr>
          <w:ilvl w:val="0"/>
          <w:numId w:val="48"/>
        </w:numPr>
        <w:wordWrap/>
        <w:spacing w:before="160" w:after="0"/>
        <w:ind w:left="440" w:right="0" w:hanging="440"/>
        <w:jc w:val="left"/>
        <w:textAlignment w:val="auto"/>
        <w:rPr>
          <w:sz w:val="24"/>
        </w:rPr>
      </w:pPr>
      <w:r>
        <w:rPr>
          <w:rFonts w:ascii="宋体" w:hAnsi="宋体" w:eastAsia="宋体" w:cs="宋体"/>
          <w:b/>
          <w:i w:val="0"/>
          <w:spacing w:val="0"/>
          <w:sz w:val="24"/>
        </w:rPr>
        <w:t>温控系统安装</w:t>
      </w:r>
      <w:r>
        <w:rPr>
          <w:rFonts w:ascii="宋体" w:hAnsi="宋体" w:eastAsia="宋体" w:cs="宋体"/>
          <w:b w:val="0"/>
          <w:i w:val="0"/>
          <w:spacing w:val="0"/>
          <w:sz w:val="24"/>
        </w:rPr>
        <w:t>：测试加热棒功率和温控器精度，确保能精确控制水温</w:t>
      </w:r>
    </w:p>
    <w:p w14:paraId="5CEBE4FE">
      <w:pPr>
        <w:pageBreakBefore w:val="0"/>
        <w:numPr>
          <w:ilvl w:val="0"/>
          <w:numId w:val="48"/>
        </w:numPr>
        <w:wordWrap/>
        <w:spacing w:before="160" w:after="0"/>
        <w:ind w:left="440" w:right="0" w:hanging="440"/>
        <w:jc w:val="left"/>
        <w:textAlignment w:val="auto"/>
        <w:rPr>
          <w:sz w:val="24"/>
        </w:rPr>
      </w:pPr>
      <w:r>
        <w:rPr>
          <w:rFonts w:ascii="宋体" w:hAnsi="宋体" w:eastAsia="宋体" w:cs="宋体"/>
          <w:b/>
          <w:i w:val="0"/>
          <w:spacing w:val="0"/>
          <w:sz w:val="24"/>
        </w:rPr>
        <w:t>CO₂系统安装</w:t>
      </w:r>
      <w:r>
        <w:rPr>
          <w:rFonts w:ascii="宋体" w:hAnsi="宋体" w:eastAsia="宋体" w:cs="宋体"/>
          <w:b w:val="0"/>
          <w:i w:val="0"/>
          <w:spacing w:val="0"/>
          <w:sz w:val="24"/>
        </w:rPr>
        <w:t>：测试CO₂浓度和释放稳定性，确保符合水草生长需求</w:t>
      </w:r>
    </w:p>
    <w:p w14:paraId="262A19AE">
      <w:pPr>
        <w:pageBreakBefore w:val="0"/>
        <w:numPr>
          <w:ilvl w:val="0"/>
          <w:numId w:val="48"/>
        </w:numPr>
        <w:wordWrap/>
        <w:spacing w:before="160" w:after="0"/>
        <w:ind w:left="440" w:right="0" w:hanging="440"/>
        <w:jc w:val="left"/>
        <w:textAlignment w:val="auto"/>
        <w:rPr>
          <w:sz w:val="24"/>
        </w:rPr>
      </w:pPr>
      <w:r>
        <w:rPr>
          <w:rFonts w:ascii="宋体" w:hAnsi="宋体" w:eastAsia="宋体" w:cs="宋体"/>
          <w:b/>
          <w:i w:val="0"/>
          <w:spacing w:val="0"/>
          <w:sz w:val="24"/>
        </w:rPr>
        <w:t>设备测试</w:t>
      </w:r>
      <w:r>
        <w:rPr>
          <w:rFonts w:ascii="宋体" w:hAnsi="宋体" w:eastAsia="宋体" w:cs="宋体"/>
          <w:b w:val="0"/>
          <w:i w:val="0"/>
          <w:spacing w:val="0"/>
          <w:sz w:val="24"/>
        </w:rPr>
        <w:t>：所有设备安装完成后，需进行整体测试，确保系统稳定运行</w:t>
      </w:r>
    </w:p>
    <w:p w14:paraId="3AAF85E7">
      <w:pPr>
        <w:pageBreakBefore w:val="0"/>
        <w:wordWrap/>
        <w:spacing w:before="160" w:after="0"/>
        <w:ind w:left="0" w:right="0"/>
        <w:jc w:val="left"/>
        <w:textAlignment w:val="auto"/>
        <w:rPr>
          <w:rFonts w:ascii="宋体" w:hAnsi="宋体" w:eastAsia="宋体" w:cs="宋体"/>
          <w:b/>
          <w:i w:val="0"/>
          <w:spacing w:val="0"/>
          <w:sz w:val="24"/>
        </w:rPr>
      </w:pPr>
    </w:p>
    <w:p w14:paraId="29A36FAB">
      <w:pPr>
        <w:pageBreakBefore w:val="0"/>
        <w:wordWrap/>
        <w:spacing w:before="160" w:after="0"/>
        <w:ind w:left="0" w:right="0"/>
        <w:jc w:val="left"/>
        <w:textAlignment w:val="auto"/>
        <w:rPr>
          <w:sz w:val="24"/>
        </w:rPr>
      </w:pPr>
      <w:r>
        <w:rPr>
          <w:rFonts w:ascii="宋体" w:hAnsi="宋体" w:eastAsia="宋体" w:cs="宋体"/>
          <w:b/>
          <w:i w:val="0"/>
          <w:spacing w:val="0"/>
          <w:sz w:val="24"/>
        </w:rPr>
        <w:t>4.2.2 底床铺设与造景骨架搭建</w:t>
      </w:r>
    </w:p>
    <w:p w14:paraId="69FFA042">
      <w:pPr>
        <w:pageBreakBefore w:val="0"/>
        <w:wordWrap/>
        <w:spacing w:before="160" w:after="0"/>
        <w:ind w:left="0" w:right="0"/>
        <w:jc w:val="left"/>
        <w:textAlignment w:val="auto"/>
        <w:rPr>
          <w:sz w:val="24"/>
        </w:rPr>
      </w:pPr>
      <w:r>
        <w:rPr>
          <w:rFonts w:ascii="宋体" w:hAnsi="宋体" w:eastAsia="宋体" w:cs="宋体"/>
          <w:b w:val="0"/>
          <w:i w:val="0"/>
          <w:spacing w:val="0"/>
          <w:sz w:val="24"/>
        </w:rPr>
        <w:t>底床铺设与造景骨架搭建是构建水族造景基础的两个关键步骤：</w:t>
      </w:r>
    </w:p>
    <w:p w14:paraId="600A243D">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底床铺设</w:t>
      </w:r>
    </w:p>
    <w:p w14:paraId="796C0CF8">
      <w:pPr>
        <w:pageBreakBefore w:val="0"/>
        <w:wordWrap/>
        <w:spacing w:before="160" w:after="0"/>
        <w:ind w:left="0" w:right="0"/>
        <w:jc w:val="left"/>
        <w:textAlignment w:val="auto"/>
        <w:rPr>
          <w:sz w:val="24"/>
        </w:rPr>
      </w:pPr>
      <w:r>
        <w:rPr>
          <w:rFonts w:ascii="宋体" w:hAnsi="宋体" w:eastAsia="宋体" w:cs="宋体"/>
          <w:b w:val="0"/>
          <w:i w:val="0"/>
          <w:spacing w:val="0"/>
          <w:sz w:val="24"/>
        </w:rPr>
        <w:t>底床铺设需遵循特定的分层和布局原则：</w:t>
      </w:r>
    </w:p>
    <w:p w14:paraId="1AF16FC7">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ADA泥铺设</w:t>
      </w:r>
      <w:r>
        <w:rPr>
          <w:rFonts w:ascii="宋体" w:hAnsi="宋体" w:eastAsia="宋体" w:cs="宋体"/>
          <w:b w:val="0"/>
          <w:i w:val="0"/>
          <w:spacing w:val="0"/>
          <w:sz w:val="24"/>
        </w:rPr>
        <w:t>：前低后高布局，厚度2-3cm，无需清洗，直接铺设；注水需缓慢，避免水流冲刷导致粉化</w:t>
      </w:r>
    </w:p>
    <w:p w14:paraId="2FFDF550">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赤玉土处理</w:t>
      </w:r>
      <w:r>
        <w:rPr>
          <w:rFonts w:ascii="宋体" w:hAnsi="宋体" w:eastAsia="宋体" w:cs="宋体"/>
          <w:b w:val="0"/>
          <w:i w:val="0"/>
          <w:spacing w:val="0"/>
          <w:sz w:val="24"/>
        </w:rPr>
        <w:t>：需提前浸泡1周，并添加碳酸钙（120g/10L）、硫酸镁（105g/10L）和硫酸钾（30g/10L）稳定水质</w:t>
      </w:r>
    </w:p>
    <w:p w14:paraId="56FDBB11">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分层铺设</w:t>
      </w:r>
      <w:r>
        <w:rPr>
          <w:rFonts w:ascii="宋体" w:hAnsi="宋体" w:eastAsia="宋体" w:cs="宋体"/>
          <w:b w:val="0"/>
          <w:i w:val="0"/>
          <w:spacing w:val="0"/>
          <w:sz w:val="24"/>
        </w:rPr>
        <w:t>：通常采用"ADA泥+赤玉土"分层结构，ADA泥2-3cm，赤玉土1-2cm，增强排水性和营养供应</w:t>
      </w:r>
    </w:p>
    <w:p w14:paraId="498BB36B">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底床平整</w:t>
      </w:r>
      <w:r>
        <w:rPr>
          <w:rFonts w:ascii="宋体" w:hAnsi="宋体" w:eastAsia="宋体" w:cs="宋体"/>
          <w:b w:val="0"/>
          <w:i w:val="0"/>
          <w:spacing w:val="0"/>
          <w:sz w:val="24"/>
        </w:rPr>
        <w:t>：使用工具将底床平整，形成前低后高的倾斜效果（约1-3cm/10cm长度）</w:t>
      </w:r>
    </w:p>
    <w:p w14:paraId="203D8A97">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特殊处理</w:t>
      </w:r>
      <w:r>
        <w:rPr>
          <w:rFonts w:ascii="宋体" w:hAnsi="宋体" w:eastAsia="宋体" w:cs="宋体"/>
          <w:b w:val="0"/>
          <w:i w:val="0"/>
          <w:spacing w:val="0"/>
          <w:sz w:val="24"/>
        </w:rPr>
        <w:t>：赤玉土等颗粒较大的底床材料，可添加少量泥炭苔或奥斯摩肥（Osmocote）促进细菌生长</w:t>
      </w:r>
    </w:p>
    <w:p w14:paraId="76613398">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2193D730">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造景骨架搭建</w:t>
      </w:r>
    </w:p>
    <w:p w14:paraId="031478C5">
      <w:pPr>
        <w:pageBreakBefore w:val="0"/>
        <w:wordWrap/>
        <w:spacing w:before="160" w:after="0"/>
        <w:ind w:left="0" w:right="0"/>
        <w:jc w:val="left"/>
        <w:textAlignment w:val="auto"/>
        <w:rPr>
          <w:sz w:val="24"/>
        </w:rPr>
      </w:pPr>
      <w:r>
        <w:rPr>
          <w:rFonts w:ascii="宋体" w:hAnsi="宋体" w:eastAsia="宋体" w:cs="宋体"/>
          <w:b w:val="0"/>
          <w:i w:val="0"/>
          <w:spacing w:val="0"/>
          <w:sz w:val="24"/>
        </w:rPr>
        <w:t>造景骨架搭建是确定景观基本形态的关键步骤：</w:t>
      </w:r>
    </w:p>
    <w:p w14:paraId="3326CA4A">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沉木处理</w:t>
      </w:r>
      <w:r>
        <w:rPr>
          <w:rFonts w:ascii="宋体" w:hAnsi="宋体" w:eastAsia="宋体" w:cs="宋体"/>
          <w:b w:val="0"/>
          <w:i w:val="0"/>
          <w:spacing w:val="0"/>
          <w:sz w:val="24"/>
        </w:rPr>
        <w:t>：根据沉木类型选择相应处理方法：</w:t>
      </w:r>
    </w:p>
    <w:p w14:paraId="38C1A39B">
      <w:pPr>
        <w:pageBreakBefore w:val="0"/>
        <w:numPr>
          <w:ilvl w:val="1"/>
          <w:numId w:val="51"/>
        </w:numPr>
        <w:wordWrap/>
        <w:spacing w:before="160" w:after="0"/>
        <w:ind w:left="880" w:right="0" w:hanging="440"/>
        <w:jc w:val="left"/>
        <w:textAlignment w:val="auto"/>
        <w:rPr>
          <w:sz w:val="24"/>
        </w:rPr>
      </w:pPr>
      <w:r>
        <w:rPr>
          <w:rFonts w:ascii="宋体" w:hAnsi="宋体" w:eastAsia="宋体" w:cs="宋体"/>
          <w:b w:val="0"/>
          <w:i w:val="0"/>
          <w:spacing w:val="0"/>
          <w:sz w:val="24"/>
        </w:rPr>
        <w:t>阴木：开水煮30分钟，或浸泡数天去除色素</w:t>
      </w:r>
    </w:p>
    <w:p w14:paraId="319258EB">
      <w:pPr>
        <w:pageBreakBefore w:val="0"/>
        <w:numPr>
          <w:ilvl w:val="1"/>
          <w:numId w:val="51"/>
        </w:numPr>
        <w:wordWrap/>
        <w:spacing w:before="160" w:after="0"/>
        <w:ind w:left="880" w:right="0" w:hanging="440"/>
        <w:jc w:val="left"/>
        <w:textAlignment w:val="auto"/>
        <w:rPr>
          <w:sz w:val="24"/>
        </w:rPr>
      </w:pPr>
      <w:r>
        <w:rPr>
          <w:rFonts w:ascii="宋体" w:hAnsi="宋体" w:eastAsia="宋体" w:cs="宋体"/>
          <w:b w:val="0"/>
          <w:i w:val="0"/>
          <w:spacing w:val="0"/>
          <w:sz w:val="24"/>
        </w:rPr>
        <w:t>流木：开水煮60分钟，或浸泡1周去除色素</w:t>
      </w:r>
    </w:p>
    <w:p w14:paraId="583615F8">
      <w:pPr>
        <w:pageBreakBefore w:val="0"/>
        <w:numPr>
          <w:ilvl w:val="1"/>
          <w:numId w:val="51"/>
        </w:numPr>
        <w:wordWrap/>
        <w:spacing w:before="160" w:after="0"/>
        <w:ind w:left="880" w:right="0" w:hanging="440"/>
        <w:jc w:val="left"/>
        <w:textAlignment w:val="auto"/>
        <w:rPr>
          <w:sz w:val="24"/>
        </w:rPr>
      </w:pPr>
      <w:r>
        <w:rPr>
          <w:rFonts w:ascii="宋体" w:hAnsi="宋体" w:eastAsia="宋体" w:cs="宋体"/>
          <w:b w:val="0"/>
          <w:i w:val="0"/>
          <w:spacing w:val="0"/>
          <w:sz w:val="24"/>
        </w:rPr>
        <w:t>杜鹃根：可直接使用，但需重物压实</w:t>
      </w:r>
    </w:p>
    <w:p w14:paraId="10A216FB">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骨架布局</w:t>
      </w:r>
      <w:r>
        <w:rPr>
          <w:rFonts w:ascii="宋体" w:hAnsi="宋体" w:eastAsia="宋体" w:cs="宋体"/>
          <w:b w:val="0"/>
          <w:i w:val="0"/>
          <w:spacing w:val="0"/>
          <w:sz w:val="24"/>
        </w:rPr>
        <w:t>：根据设计图纸，将沉木、石材等骨架元素按照"前低后高"的原则布局，形成基本景观框架</w:t>
      </w:r>
    </w:p>
    <w:p w14:paraId="74C58ACF">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固定方法</w:t>
      </w:r>
      <w:r>
        <w:rPr>
          <w:rFonts w:ascii="宋体" w:hAnsi="宋体" w:eastAsia="宋体" w:cs="宋体"/>
          <w:b w:val="0"/>
          <w:i w:val="0"/>
          <w:spacing w:val="0"/>
          <w:sz w:val="24"/>
        </w:rPr>
        <w:t>：采用线绑、胶水或扎带等方法固定沉木和水草，确保造景元素稳定不移动</w:t>
      </w:r>
    </w:p>
    <w:p w14:paraId="46E5FD24">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特殊技巧</w:t>
      </w:r>
      <w:r>
        <w:rPr>
          <w:rFonts w:ascii="宋体" w:hAnsi="宋体" w:eastAsia="宋体" w:cs="宋体"/>
          <w:b w:val="0"/>
          <w:i w:val="0"/>
          <w:spacing w:val="0"/>
          <w:sz w:val="24"/>
        </w:rPr>
        <w:t>：使用水草胶固定时，可在粘合处撒木屑增强附着力；使用线绑时，需确保绑线不明显且不影响美观</w:t>
      </w:r>
    </w:p>
    <w:p w14:paraId="4D1685BD">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结构检查</w:t>
      </w:r>
      <w:r>
        <w:rPr>
          <w:rFonts w:ascii="宋体" w:hAnsi="宋体" w:eastAsia="宋体" w:cs="宋体"/>
          <w:b w:val="0"/>
          <w:i w:val="0"/>
          <w:spacing w:val="0"/>
          <w:sz w:val="24"/>
        </w:rPr>
        <w:t>：骨架搭建完成后，需检查结构稳定性，确保无松动和安全隐患</w:t>
      </w:r>
    </w:p>
    <w:p w14:paraId="3025449A">
      <w:pPr>
        <w:pageBreakBefore w:val="0"/>
        <w:wordWrap/>
        <w:spacing w:before="160" w:after="0"/>
        <w:ind w:left="0" w:right="0"/>
        <w:jc w:val="left"/>
        <w:textAlignment w:val="auto"/>
        <w:rPr>
          <w:rFonts w:ascii="宋体" w:hAnsi="宋体" w:eastAsia="宋体" w:cs="宋体"/>
          <w:b/>
          <w:i w:val="0"/>
          <w:spacing w:val="0"/>
          <w:sz w:val="24"/>
        </w:rPr>
      </w:pPr>
    </w:p>
    <w:p w14:paraId="56CE5529">
      <w:pPr>
        <w:pageBreakBefore w:val="0"/>
        <w:wordWrap/>
        <w:spacing w:before="160" w:after="0"/>
        <w:ind w:left="0" w:right="0"/>
        <w:jc w:val="left"/>
        <w:textAlignment w:val="auto"/>
        <w:rPr>
          <w:sz w:val="24"/>
        </w:rPr>
      </w:pPr>
      <w:r>
        <w:rPr>
          <w:rFonts w:ascii="宋体" w:hAnsi="宋体" w:eastAsia="宋体" w:cs="宋体"/>
          <w:b/>
          <w:i w:val="0"/>
          <w:spacing w:val="0"/>
          <w:sz w:val="24"/>
        </w:rPr>
        <w:t>4.2.3 植物种植技巧（固定、修剪、种植密度）</w:t>
      </w:r>
    </w:p>
    <w:p w14:paraId="684D7BBF">
      <w:pPr>
        <w:pageBreakBefore w:val="0"/>
        <w:wordWrap/>
        <w:spacing w:before="160" w:after="0"/>
        <w:ind w:left="0" w:right="0"/>
        <w:jc w:val="left"/>
        <w:textAlignment w:val="auto"/>
        <w:rPr>
          <w:sz w:val="24"/>
        </w:rPr>
      </w:pPr>
      <w:r>
        <w:rPr>
          <w:rFonts w:ascii="宋体" w:hAnsi="宋体" w:eastAsia="宋体" w:cs="宋体"/>
          <w:b w:val="0"/>
          <w:i w:val="0"/>
          <w:spacing w:val="0"/>
          <w:sz w:val="24"/>
        </w:rPr>
        <w:t>植物种植是水族造景的核心环节，直接影响景观的美观度和系统的稳定性：</w:t>
      </w:r>
    </w:p>
    <w:p w14:paraId="70F5F968">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水草种植方法</w:t>
      </w:r>
    </w:p>
    <w:p w14:paraId="548177C7">
      <w:pPr>
        <w:pageBreakBefore w:val="0"/>
        <w:numPr>
          <w:ilvl w:val="0"/>
          <w:numId w:val="52"/>
        </w:numPr>
        <w:wordWrap/>
        <w:spacing w:before="160" w:after="0"/>
        <w:ind w:left="440" w:right="0" w:hanging="440"/>
        <w:jc w:val="left"/>
        <w:textAlignment w:val="auto"/>
        <w:rPr>
          <w:sz w:val="24"/>
        </w:rPr>
      </w:pPr>
      <w:r>
        <w:rPr>
          <w:rFonts w:ascii="宋体" w:hAnsi="宋体" w:eastAsia="宋体" w:cs="宋体"/>
          <w:b/>
          <w:i w:val="0"/>
          <w:spacing w:val="0"/>
          <w:sz w:val="24"/>
        </w:rPr>
        <w:t>缸栽法</w:t>
      </w:r>
      <w:r>
        <w:rPr>
          <w:rFonts w:ascii="宋体" w:hAnsi="宋体" w:eastAsia="宋体" w:cs="宋体"/>
          <w:b w:val="0"/>
          <w:i w:val="0"/>
          <w:spacing w:val="0"/>
          <w:sz w:val="24"/>
        </w:rPr>
        <w:t>：在缸底拨开凹穴，将水草根部放入穴中，须根压入砂中，培砂并压上卵石</w:t>
      </w:r>
    </w:p>
    <w:p w14:paraId="4FC6CAF3">
      <w:pPr>
        <w:pageBreakBefore w:val="0"/>
        <w:numPr>
          <w:ilvl w:val="0"/>
          <w:numId w:val="52"/>
        </w:numPr>
        <w:wordWrap/>
        <w:spacing w:before="160" w:after="0"/>
        <w:ind w:left="440" w:right="0" w:hanging="440"/>
        <w:jc w:val="left"/>
        <w:textAlignment w:val="auto"/>
        <w:rPr>
          <w:sz w:val="24"/>
        </w:rPr>
      </w:pPr>
      <w:r>
        <w:rPr>
          <w:rFonts w:ascii="宋体" w:hAnsi="宋体" w:eastAsia="宋体" w:cs="宋体"/>
          <w:b/>
          <w:i w:val="0"/>
          <w:spacing w:val="0"/>
          <w:sz w:val="24"/>
        </w:rPr>
        <w:t>压根法</w:t>
      </w:r>
      <w:r>
        <w:rPr>
          <w:rFonts w:ascii="宋体" w:hAnsi="宋体" w:eastAsia="宋体" w:cs="宋体"/>
          <w:b w:val="0"/>
          <w:i w:val="0"/>
          <w:spacing w:val="0"/>
          <w:sz w:val="24"/>
        </w:rPr>
        <w:t>：对于浮生水草或缸底不宜铺砂的鱼缸，可将水草根部捆上小石或套入合适玻璃管沉入缸底</w:t>
      </w:r>
    </w:p>
    <w:p w14:paraId="7278E752">
      <w:pPr>
        <w:pageBreakBefore w:val="0"/>
        <w:numPr>
          <w:ilvl w:val="0"/>
          <w:numId w:val="52"/>
        </w:numPr>
        <w:wordWrap/>
        <w:spacing w:before="160" w:after="0"/>
        <w:ind w:left="440" w:right="0" w:hanging="440"/>
        <w:jc w:val="left"/>
        <w:textAlignment w:val="auto"/>
        <w:rPr>
          <w:sz w:val="24"/>
        </w:rPr>
      </w:pPr>
      <w:r>
        <w:rPr>
          <w:rFonts w:ascii="宋体" w:hAnsi="宋体" w:eastAsia="宋体" w:cs="宋体"/>
          <w:b/>
          <w:i w:val="0"/>
          <w:spacing w:val="0"/>
          <w:sz w:val="24"/>
        </w:rPr>
        <w:t>种植技巧</w:t>
      </w:r>
      <w:r>
        <w:rPr>
          <w:rFonts w:ascii="宋体" w:hAnsi="宋体" w:eastAsia="宋体" w:cs="宋体"/>
          <w:b w:val="0"/>
          <w:i w:val="0"/>
          <w:spacing w:val="0"/>
          <w:sz w:val="24"/>
        </w:rPr>
        <w:t>：</w:t>
      </w:r>
    </w:p>
    <w:p w14:paraId="6D44B8E8">
      <w:pPr>
        <w:pageBreakBefore w:val="0"/>
        <w:numPr>
          <w:ilvl w:val="1"/>
          <w:numId w:val="53"/>
        </w:numPr>
        <w:wordWrap/>
        <w:spacing w:before="160" w:after="0"/>
        <w:ind w:left="880" w:right="0" w:hanging="440"/>
        <w:jc w:val="left"/>
        <w:textAlignment w:val="auto"/>
        <w:rPr>
          <w:sz w:val="24"/>
        </w:rPr>
      </w:pPr>
      <w:r>
        <w:rPr>
          <w:rFonts w:ascii="宋体" w:hAnsi="宋体" w:eastAsia="宋体" w:cs="宋体"/>
          <w:b w:val="0"/>
          <w:i w:val="0"/>
          <w:spacing w:val="0"/>
          <w:sz w:val="24"/>
        </w:rPr>
        <w:t>种植前将水草整束沉水插在砂中一天，让水草自然伸展挺直</w:t>
      </w:r>
    </w:p>
    <w:p w14:paraId="50BA72D1">
      <w:pPr>
        <w:pageBreakBefore w:val="0"/>
        <w:numPr>
          <w:ilvl w:val="1"/>
          <w:numId w:val="53"/>
        </w:numPr>
        <w:wordWrap/>
        <w:spacing w:before="160" w:after="0"/>
        <w:ind w:left="880" w:right="0" w:hanging="440"/>
        <w:jc w:val="left"/>
        <w:textAlignment w:val="auto"/>
        <w:rPr>
          <w:sz w:val="24"/>
        </w:rPr>
      </w:pPr>
      <w:r>
        <w:rPr>
          <w:rFonts w:ascii="宋体" w:hAnsi="宋体" w:eastAsia="宋体" w:cs="宋体"/>
          <w:b w:val="0"/>
          <w:i w:val="0"/>
          <w:spacing w:val="0"/>
          <w:sz w:val="24"/>
        </w:rPr>
        <w:t>种植时将部分过长的根须、发黄残破的叶子修剪掉，使造景更美观</w:t>
      </w:r>
    </w:p>
    <w:p w14:paraId="5300CE3F">
      <w:pPr>
        <w:pageBreakBefore w:val="0"/>
        <w:numPr>
          <w:ilvl w:val="1"/>
          <w:numId w:val="53"/>
        </w:numPr>
        <w:wordWrap/>
        <w:spacing w:before="160" w:after="0"/>
        <w:ind w:left="880" w:right="0" w:hanging="440"/>
        <w:jc w:val="left"/>
        <w:textAlignment w:val="auto"/>
        <w:rPr>
          <w:sz w:val="24"/>
        </w:rPr>
      </w:pPr>
      <w:r>
        <w:rPr>
          <w:rFonts w:ascii="宋体" w:hAnsi="宋体" w:eastAsia="宋体" w:cs="宋体"/>
          <w:b w:val="0"/>
          <w:i w:val="0"/>
          <w:spacing w:val="0"/>
          <w:sz w:val="24"/>
        </w:rPr>
        <w:t>注水至正常水位的70%-80%，便于水草在水中挺直和调整角度</w:t>
      </w:r>
    </w:p>
    <w:p w14:paraId="2CF440C5">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7B65BE45">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种植密度与布局</w:t>
      </w:r>
    </w:p>
    <w:p w14:paraId="442D3299">
      <w:pPr>
        <w:pageBreakBefore w:val="0"/>
        <w:wordWrap/>
        <w:spacing w:before="160" w:after="0"/>
        <w:ind w:left="0" w:right="0"/>
        <w:jc w:val="left"/>
        <w:textAlignment w:val="auto"/>
        <w:rPr>
          <w:sz w:val="24"/>
        </w:rPr>
      </w:pPr>
      <w:r>
        <w:rPr>
          <w:rFonts w:ascii="宋体" w:hAnsi="宋体" w:eastAsia="宋体" w:cs="宋体"/>
          <w:b w:val="0"/>
          <w:i w:val="0"/>
          <w:spacing w:val="0"/>
          <w:sz w:val="24"/>
        </w:rPr>
        <w:t>种植密度与布局直接影响景观的层次感和水草的健康生长：</w:t>
      </w:r>
    </w:p>
    <w:p w14:paraId="42260E7E">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前景草</w:t>
      </w:r>
      <w:r>
        <w:rPr>
          <w:rFonts w:ascii="宋体" w:hAnsi="宋体" w:eastAsia="宋体" w:cs="宋体"/>
          <w:b w:val="0"/>
          <w:i w:val="0"/>
          <w:spacing w:val="0"/>
          <w:sz w:val="24"/>
        </w:rPr>
        <w:t>：每丛间距约5cm，种植密度高，如迷你矮珍珠、矮珍珠、草皮等</w:t>
      </w:r>
    </w:p>
    <w:p w14:paraId="04D56150">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中景草</w:t>
      </w:r>
      <w:r>
        <w:rPr>
          <w:rFonts w:ascii="宋体" w:hAnsi="宋体" w:eastAsia="宋体" w:cs="宋体"/>
          <w:b w:val="0"/>
          <w:i w:val="0"/>
          <w:spacing w:val="0"/>
          <w:sz w:val="24"/>
        </w:rPr>
        <w:t>：每丛间距约8-10cm，种植密度中等，如椒草、水榕等</w:t>
      </w:r>
    </w:p>
    <w:p w14:paraId="62C02BEC">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后景草</w:t>
      </w:r>
      <w:r>
        <w:rPr>
          <w:rFonts w:ascii="宋体" w:hAnsi="宋体" w:eastAsia="宋体" w:cs="宋体"/>
          <w:b w:val="0"/>
          <w:i w:val="0"/>
          <w:spacing w:val="0"/>
          <w:sz w:val="24"/>
        </w:rPr>
        <w:t>：每丛间距可适当放宽，如有茎类水草</w:t>
      </w:r>
    </w:p>
    <w:p w14:paraId="3CFD4547">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层次布局</w:t>
      </w:r>
      <w:r>
        <w:rPr>
          <w:rFonts w:ascii="宋体" w:hAnsi="宋体" w:eastAsia="宋体" w:cs="宋体"/>
          <w:b w:val="0"/>
          <w:i w:val="0"/>
          <w:spacing w:val="0"/>
          <w:sz w:val="24"/>
        </w:rPr>
        <w:t>：遵循"前低后高"原则，前景草高度控制在5-10cm，中景草10-30cm，后景草可适当放宽</w:t>
      </w:r>
    </w:p>
    <w:p w14:paraId="1EC6F04F">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种植顺序</w:t>
      </w:r>
      <w:r>
        <w:rPr>
          <w:rFonts w:ascii="宋体" w:hAnsi="宋体" w:eastAsia="宋体" w:cs="宋体"/>
          <w:b w:val="0"/>
          <w:i w:val="0"/>
          <w:spacing w:val="0"/>
          <w:sz w:val="24"/>
        </w:rPr>
        <w:t>：通常按后景→中景→前景的顺序种植，便于调整和修整</w:t>
      </w:r>
    </w:p>
    <w:p w14:paraId="37A62866">
      <w:pPr>
        <w:pageBreakBefore w:val="0"/>
        <w:wordWrap/>
        <w:spacing w:before="160" w:after="0"/>
        <w:ind w:left="0" w:right="0"/>
        <w:jc w:val="left"/>
        <w:textAlignment w:val="auto"/>
        <w:rPr>
          <w:sz w:val="24"/>
        </w:rPr>
      </w:pPr>
      <w:r>
        <w:rPr>
          <w:rFonts w:ascii="宋体" w:hAnsi="宋体" w:eastAsia="宋体" w:cs="宋体"/>
          <w:b w:val="0"/>
          <w:i w:val="0"/>
          <w:spacing w:val="0"/>
          <w:sz w:val="24"/>
        </w:rPr>
        <w:t>种植完成后，水草可能因水压变化而浮起，需进行二次调整和固定。</w:t>
      </w:r>
    </w:p>
    <w:p w14:paraId="3676D88F">
      <w:pPr>
        <w:pageBreakBefore w:val="0"/>
        <w:wordWrap/>
        <w:spacing w:before="160" w:after="0"/>
        <w:ind w:left="0" w:right="0"/>
        <w:jc w:val="left"/>
        <w:textAlignment w:val="auto"/>
        <w:rPr>
          <w:rFonts w:ascii="宋体" w:hAnsi="宋体" w:eastAsia="宋体" w:cs="宋体"/>
          <w:b/>
          <w:i w:val="0"/>
          <w:spacing w:val="0"/>
          <w:sz w:val="24"/>
        </w:rPr>
      </w:pPr>
    </w:p>
    <w:p w14:paraId="39C48565">
      <w:pPr>
        <w:pageBreakBefore w:val="0"/>
        <w:wordWrap/>
        <w:spacing w:before="160" w:after="0"/>
        <w:ind w:left="0" w:right="0"/>
        <w:jc w:val="left"/>
        <w:textAlignment w:val="auto"/>
        <w:rPr>
          <w:sz w:val="24"/>
        </w:rPr>
      </w:pPr>
      <w:r>
        <w:rPr>
          <w:rFonts w:ascii="宋体" w:hAnsi="宋体" w:eastAsia="宋体" w:cs="宋体"/>
          <w:b/>
          <w:i w:val="0"/>
          <w:spacing w:val="0"/>
          <w:sz w:val="24"/>
        </w:rPr>
        <w:t>4.2.4 生物引入与适应期管理</w:t>
      </w:r>
    </w:p>
    <w:p w14:paraId="10679CFF">
      <w:pPr>
        <w:pageBreakBefore w:val="0"/>
        <w:wordWrap/>
        <w:spacing w:before="160" w:after="0"/>
        <w:ind w:left="0" w:right="0"/>
        <w:jc w:val="left"/>
        <w:textAlignment w:val="auto"/>
        <w:rPr>
          <w:sz w:val="24"/>
        </w:rPr>
      </w:pPr>
      <w:r>
        <w:rPr>
          <w:rFonts w:ascii="宋体" w:hAnsi="宋体" w:eastAsia="宋体" w:cs="宋体"/>
          <w:b w:val="0"/>
          <w:i w:val="0"/>
          <w:spacing w:val="0"/>
          <w:sz w:val="24"/>
        </w:rPr>
        <w:t>生物引入与适应期管理是确保生物健康和景观稳定的最后一步：</w:t>
      </w:r>
    </w:p>
    <w:p w14:paraId="39149463">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生物引入顺序</w:t>
      </w:r>
    </w:p>
    <w:p w14:paraId="2AB83DA7">
      <w:pPr>
        <w:pageBreakBefore w:val="0"/>
        <w:wordWrap/>
        <w:spacing w:before="160" w:after="0"/>
        <w:ind w:left="0" w:right="0"/>
        <w:jc w:val="left"/>
        <w:textAlignment w:val="auto"/>
        <w:rPr>
          <w:sz w:val="24"/>
        </w:rPr>
      </w:pPr>
      <w:r>
        <w:rPr>
          <w:rFonts w:ascii="宋体" w:hAnsi="宋体" w:eastAsia="宋体" w:cs="宋体"/>
          <w:b w:val="0"/>
          <w:i w:val="0"/>
          <w:spacing w:val="0"/>
          <w:sz w:val="24"/>
        </w:rPr>
        <w:t>生物引入应遵循特定顺序，确保生态系统逐步建立：</w:t>
      </w:r>
    </w:p>
    <w:p w14:paraId="4F928C8B">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第一阶段</w:t>
      </w:r>
      <w:r>
        <w:rPr>
          <w:rFonts w:ascii="宋体" w:hAnsi="宋体" w:eastAsia="宋体" w:cs="宋体"/>
          <w:b w:val="0"/>
          <w:i w:val="0"/>
          <w:spacing w:val="0"/>
          <w:sz w:val="24"/>
        </w:rPr>
        <w:t>：引入螺类（如苹果螺3只/30升水），清理残饵和有机物</w:t>
      </w:r>
    </w:p>
    <w:p w14:paraId="227F3724">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第二阶段</w:t>
      </w:r>
      <w:r>
        <w:rPr>
          <w:rFonts w:ascii="宋体" w:hAnsi="宋体" w:eastAsia="宋体" w:cs="宋体"/>
          <w:b w:val="0"/>
          <w:i w:val="0"/>
          <w:spacing w:val="0"/>
          <w:sz w:val="24"/>
        </w:rPr>
        <w:t>：引入虾类（如黑壳虾5-10只/10升水），控制藻类生长</w:t>
      </w:r>
    </w:p>
    <w:p w14:paraId="42A3613A">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第三阶段</w:t>
      </w:r>
      <w:r>
        <w:rPr>
          <w:rFonts w:ascii="宋体" w:hAnsi="宋体" w:eastAsia="宋体" w:cs="宋体"/>
          <w:b w:val="0"/>
          <w:i w:val="0"/>
          <w:spacing w:val="0"/>
          <w:sz w:val="24"/>
        </w:rPr>
        <w:t>：引入鱼类（如斑马鱼、孔雀鱼等），按"1升水养1厘米鱼"原则控制密度</w:t>
      </w:r>
    </w:p>
    <w:p w14:paraId="77211AF9">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第四阶段</w:t>
      </w:r>
      <w:r>
        <w:rPr>
          <w:rFonts w:ascii="宋体" w:hAnsi="宋体" w:eastAsia="宋体" w:cs="宋体"/>
          <w:b w:val="0"/>
          <w:i w:val="0"/>
          <w:spacing w:val="0"/>
          <w:sz w:val="24"/>
        </w:rPr>
        <w:t>：引入特殊生物（如工具鱼、特殊观赏鱼），根据缸体大小和水草密度调整</w:t>
      </w:r>
    </w:p>
    <w:p w14:paraId="40901930">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5D34029A">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适应期管理</w:t>
      </w:r>
    </w:p>
    <w:p w14:paraId="1126ADA4">
      <w:pPr>
        <w:pageBreakBefore w:val="0"/>
        <w:wordWrap/>
        <w:spacing w:before="160" w:after="0"/>
        <w:ind w:left="0" w:right="0"/>
        <w:jc w:val="left"/>
        <w:textAlignment w:val="auto"/>
        <w:rPr>
          <w:sz w:val="24"/>
        </w:rPr>
      </w:pPr>
      <w:r>
        <w:rPr>
          <w:rFonts w:ascii="宋体" w:hAnsi="宋体" w:eastAsia="宋体" w:cs="宋体"/>
          <w:b w:val="0"/>
          <w:i w:val="0"/>
          <w:spacing w:val="0"/>
          <w:sz w:val="24"/>
        </w:rPr>
        <w:t>生物引入后的适应期管理是确保生物健康的关键：</w:t>
      </w:r>
    </w:p>
    <w:p w14:paraId="7D065146">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温差控制</w:t>
      </w:r>
      <w:r>
        <w:rPr>
          <w:rFonts w:ascii="宋体" w:hAnsi="宋体" w:eastAsia="宋体" w:cs="宋体"/>
          <w:b w:val="0"/>
          <w:i w:val="0"/>
          <w:spacing w:val="0"/>
          <w:sz w:val="24"/>
        </w:rPr>
        <w:t>：遵循"±2℃/天"的温差梯度，逐步将新生物引入缸内环境</w:t>
      </w:r>
    </w:p>
    <w:p w14:paraId="5575B0CD">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水质稳定</w:t>
      </w:r>
      <w:r>
        <w:rPr>
          <w:rFonts w:ascii="宋体" w:hAnsi="宋体" w:eastAsia="宋体" w:cs="宋体"/>
          <w:b w:val="0"/>
          <w:i w:val="0"/>
          <w:spacing w:val="0"/>
          <w:sz w:val="24"/>
        </w:rPr>
        <w:t>：确保水质参数稳定（氨&lt;0.02mg/L，硝酸盐&lt;10mg/L），避免生物应激</w:t>
      </w:r>
    </w:p>
    <w:p w14:paraId="1C403FDF">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光照管理</w:t>
      </w:r>
      <w:r>
        <w:rPr>
          <w:rFonts w:ascii="宋体" w:hAnsi="宋体" w:eastAsia="宋体" w:cs="宋体"/>
          <w:b w:val="0"/>
          <w:i w:val="0"/>
          <w:spacing w:val="0"/>
          <w:sz w:val="24"/>
        </w:rPr>
        <w:t>：初期可适当降低光照强度（50%-70%），减轻生物压力</w:t>
      </w:r>
    </w:p>
    <w:p w14:paraId="1572D325">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喂食控制</w:t>
      </w:r>
      <w:r>
        <w:rPr>
          <w:rFonts w:ascii="宋体" w:hAnsi="宋体" w:eastAsia="宋体" w:cs="宋体"/>
          <w:b w:val="0"/>
          <w:i w:val="0"/>
          <w:spacing w:val="0"/>
          <w:sz w:val="24"/>
        </w:rPr>
        <w:t>：初期减少喂食量（常规的50%），避免残饵污染水质</w:t>
      </w:r>
    </w:p>
    <w:p w14:paraId="0B3650B5">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观察记录</w:t>
      </w:r>
      <w:r>
        <w:rPr>
          <w:rFonts w:ascii="宋体" w:hAnsi="宋体" w:eastAsia="宋体" w:cs="宋体"/>
          <w:b w:val="0"/>
          <w:i w:val="0"/>
          <w:spacing w:val="0"/>
          <w:sz w:val="24"/>
        </w:rPr>
        <w:t>：每日观察生物状态，记录行为变化和健康状况，及时调整</w:t>
      </w:r>
    </w:p>
    <w:p w14:paraId="3F5134C9">
      <w:pPr>
        <w:pageBreakBefore w:val="0"/>
        <w:wordWrap/>
        <w:spacing w:before="160" w:after="0"/>
        <w:ind w:left="0" w:right="0"/>
        <w:jc w:val="left"/>
        <w:textAlignment w:val="auto"/>
        <w:rPr>
          <w:sz w:val="24"/>
        </w:rPr>
      </w:pPr>
      <w:r>
        <w:rPr>
          <w:rFonts w:ascii="宋体" w:hAnsi="宋体" w:eastAsia="宋体" w:cs="宋体"/>
          <w:b w:val="0"/>
          <w:i w:val="0"/>
          <w:spacing w:val="0"/>
          <w:sz w:val="24"/>
        </w:rPr>
        <w:t>适应期管理通常需要1-2周时间，期间需特别注意水质监测和生物行为观察，确保顺利过渡。</w:t>
      </w:r>
    </w:p>
    <w:p w14:paraId="094F7545">
      <w:pPr>
        <w:pageBreakBefore w:val="0"/>
        <w:wordWrap/>
        <w:spacing w:before="160" w:after="0"/>
        <w:ind w:left="0" w:right="0"/>
        <w:jc w:val="left"/>
        <w:textAlignment w:val="auto"/>
        <w:rPr>
          <w:rFonts w:ascii="宋体" w:hAnsi="宋体" w:eastAsia="宋体" w:cs="宋体"/>
          <w:b/>
          <w:i w:val="0"/>
          <w:spacing w:val="0"/>
          <w:sz w:val="28"/>
        </w:rPr>
      </w:pPr>
    </w:p>
    <w:p w14:paraId="2CFB28DB">
      <w:pPr>
        <w:pageBreakBefore w:val="0"/>
        <w:wordWrap/>
        <w:spacing w:before="160" w:after="0"/>
        <w:ind w:left="0" w:right="0"/>
        <w:jc w:val="left"/>
        <w:textAlignment w:val="auto"/>
        <w:rPr>
          <w:sz w:val="28"/>
        </w:rPr>
      </w:pPr>
      <w:r>
        <w:rPr>
          <w:rFonts w:ascii="宋体" w:hAnsi="宋体" w:eastAsia="宋体" w:cs="宋体"/>
          <w:b/>
          <w:i w:val="0"/>
          <w:spacing w:val="0"/>
          <w:sz w:val="28"/>
        </w:rPr>
        <w:t>4.3 细节处理与调整</w:t>
      </w:r>
    </w:p>
    <w:p w14:paraId="74BEB518">
      <w:pPr>
        <w:pageBreakBefore w:val="0"/>
        <w:wordWrap/>
        <w:spacing w:before="160" w:after="0"/>
        <w:ind w:left="0" w:right="0"/>
        <w:jc w:val="left"/>
        <w:textAlignment w:val="auto"/>
        <w:rPr>
          <w:sz w:val="24"/>
        </w:rPr>
      </w:pPr>
      <w:r>
        <w:rPr>
          <w:rFonts w:ascii="宋体" w:hAnsi="宋体" w:eastAsia="宋体" w:cs="宋体"/>
          <w:b w:val="0"/>
          <w:i w:val="0"/>
          <w:spacing w:val="0"/>
          <w:sz w:val="24"/>
        </w:rPr>
        <w:t>细节处理与调整是提升水族造景品质的关键环节，包括视觉优化、水流调试和问题排查等。</w:t>
      </w:r>
    </w:p>
    <w:p w14:paraId="207DC163">
      <w:pPr>
        <w:pageBreakBefore w:val="0"/>
        <w:wordWrap/>
        <w:spacing w:before="160" w:after="0"/>
        <w:ind w:left="0" w:right="0"/>
        <w:jc w:val="left"/>
        <w:textAlignment w:val="auto"/>
        <w:rPr>
          <w:sz w:val="24"/>
        </w:rPr>
      </w:pPr>
      <w:r>
        <w:rPr>
          <w:rFonts w:ascii="宋体" w:hAnsi="宋体" w:eastAsia="宋体" w:cs="宋体"/>
          <w:b/>
          <w:i w:val="0"/>
          <w:spacing w:val="0"/>
          <w:sz w:val="24"/>
        </w:rPr>
        <w:t>4.3.1 视觉优化技巧（焦点设置、遮挡法）</w:t>
      </w:r>
    </w:p>
    <w:p w14:paraId="18541D71">
      <w:pPr>
        <w:pageBreakBefore w:val="0"/>
        <w:wordWrap/>
        <w:spacing w:before="160" w:after="0"/>
        <w:ind w:left="0" w:right="0"/>
        <w:jc w:val="left"/>
        <w:textAlignment w:val="auto"/>
        <w:rPr>
          <w:sz w:val="24"/>
        </w:rPr>
      </w:pPr>
      <w:r>
        <w:rPr>
          <w:rFonts w:ascii="宋体" w:hAnsi="宋体" w:eastAsia="宋体" w:cs="宋体"/>
          <w:b w:val="0"/>
          <w:i w:val="0"/>
          <w:spacing w:val="0"/>
          <w:sz w:val="24"/>
        </w:rPr>
        <w:t>视觉优化技巧是提升水族造景艺术价值的关键：</w:t>
      </w:r>
    </w:p>
    <w:p w14:paraId="44286D0C">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焦点设置</w:t>
      </w:r>
    </w:p>
    <w:p w14:paraId="107DC83F">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黄金分割焦点</w:t>
      </w:r>
      <w:r>
        <w:rPr>
          <w:rFonts w:ascii="宋体" w:hAnsi="宋体" w:eastAsia="宋体" w:cs="宋体"/>
          <w:b w:val="0"/>
          <w:i w:val="0"/>
          <w:spacing w:val="0"/>
          <w:sz w:val="24"/>
        </w:rPr>
        <w:t>：将视觉焦点设置在缸体长度的38%处（如90cm缸体约34.5cm处），增强视觉平衡</w:t>
      </w:r>
    </w:p>
    <w:p w14:paraId="0E7B1395">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趣味中心</w:t>
      </w:r>
      <w:r>
        <w:rPr>
          <w:rFonts w:ascii="宋体" w:hAnsi="宋体" w:eastAsia="宋体" w:cs="宋体"/>
          <w:b w:val="0"/>
          <w:i w:val="0"/>
          <w:spacing w:val="0"/>
          <w:sz w:val="24"/>
        </w:rPr>
        <w:t>：结合九宫格理论，将重要元素放置在九宫格的四个趣味中心点，创造视觉焦点</w:t>
      </w:r>
    </w:p>
    <w:p w14:paraId="41E7C7D9">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透视技巧</w:t>
      </w:r>
      <w:r>
        <w:rPr>
          <w:rFonts w:ascii="宋体" w:hAnsi="宋体" w:eastAsia="宋体" w:cs="宋体"/>
          <w:b w:val="0"/>
          <w:i w:val="0"/>
          <w:spacing w:val="0"/>
          <w:sz w:val="24"/>
        </w:rPr>
        <w:t>：通过底床前低后高设计（约1-3cm/10cm长度）和水草种植高度变化，增强景深感</w:t>
      </w:r>
    </w:p>
    <w:p w14:paraId="79AEB95B">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光线运用</w:t>
      </w:r>
      <w:r>
        <w:rPr>
          <w:rFonts w:ascii="宋体" w:hAnsi="宋体" w:eastAsia="宋体" w:cs="宋体"/>
          <w:b w:val="0"/>
          <w:i w:val="0"/>
          <w:spacing w:val="0"/>
          <w:sz w:val="24"/>
        </w:rPr>
        <w:t>：利用灯光的强弱变化和角度调整，突出重点区域，弱化次要区域</w:t>
      </w:r>
    </w:p>
    <w:p w14:paraId="7CA3B857">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043217FB">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遮挡法</w:t>
      </w:r>
    </w:p>
    <w:p w14:paraId="4F146F2C">
      <w:pPr>
        <w:pageBreakBefore w:val="0"/>
        <w:wordWrap/>
        <w:spacing w:before="160" w:after="0"/>
        <w:ind w:left="0" w:right="0"/>
        <w:jc w:val="left"/>
        <w:textAlignment w:val="auto"/>
        <w:rPr>
          <w:sz w:val="24"/>
        </w:rPr>
      </w:pPr>
      <w:r>
        <w:rPr>
          <w:rFonts w:ascii="宋体" w:hAnsi="宋体" w:eastAsia="宋体" w:cs="宋体"/>
          <w:b w:val="0"/>
          <w:i w:val="0"/>
          <w:spacing w:val="0"/>
          <w:sz w:val="24"/>
        </w:rPr>
        <w:t>遮挡法是创造视觉层次和深度的重要技巧：</w:t>
      </w:r>
    </w:p>
    <w:p w14:paraId="0762314B">
      <w:pPr>
        <w:pageBreakBefore w:val="0"/>
        <w:numPr>
          <w:ilvl w:val="0"/>
          <w:numId w:val="58"/>
        </w:numPr>
        <w:wordWrap/>
        <w:spacing w:before="160" w:after="0"/>
        <w:ind w:left="440" w:right="0" w:hanging="440"/>
        <w:jc w:val="left"/>
        <w:textAlignment w:val="auto"/>
        <w:rPr>
          <w:sz w:val="24"/>
        </w:rPr>
      </w:pPr>
      <w:r>
        <w:rPr>
          <w:rFonts w:ascii="宋体" w:hAnsi="宋体" w:eastAsia="宋体" w:cs="宋体"/>
          <w:b/>
          <w:i w:val="0"/>
          <w:spacing w:val="0"/>
          <w:sz w:val="24"/>
        </w:rPr>
        <w:t>前景遮挡</w:t>
      </w:r>
      <w:r>
        <w:rPr>
          <w:rFonts w:ascii="宋体" w:hAnsi="宋体" w:eastAsia="宋体" w:cs="宋体"/>
          <w:b w:val="0"/>
          <w:i w:val="0"/>
          <w:spacing w:val="0"/>
          <w:sz w:val="24"/>
        </w:rPr>
        <w:t>：利用前景水草（如莫斯、铁皇冠）遮挡部分中景和后景元素，创造层次感</w:t>
      </w:r>
    </w:p>
    <w:p w14:paraId="0952C3B4">
      <w:pPr>
        <w:pageBreakBefore w:val="0"/>
        <w:numPr>
          <w:ilvl w:val="0"/>
          <w:numId w:val="58"/>
        </w:numPr>
        <w:wordWrap/>
        <w:spacing w:before="160" w:after="0"/>
        <w:ind w:left="440" w:right="0" w:hanging="440"/>
        <w:jc w:val="left"/>
        <w:textAlignment w:val="auto"/>
        <w:rPr>
          <w:sz w:val="24"/>
        </w:rPr>
      </w:pPr>
      <w:r>
        <w:rPr>
          <w:rFonts w:ascii="宋体" w:hAnsi="宋体" w:eastAsia="宋体" w:cs="宋体"/>
          <w:b/>
          <w:i w:val="0"/>
          <w:spacing w:val="0"/>
          <w:sz w:val="24"/>
        </w:rPr>
        <w:t>中景过渡</w:t>
      </w:r>
      <w:r>
        <w:rPr>
          <w:rFonts w:ascii="宋体" w:hAnsi="宋体" w:eastAsia="宋体" w:cs="宋体"/>
          <w:b w:val="0"/>
          <w:i w:val="0"/>
          <w:spacing w:val="0"/>
          <w:sz w:val="24"/>
        </w:rPr>
        <w:t>：中景水草（如椒草、水榕）起过渡作用，连接前景和后景</w:t>
      </w:r>
    </w:p>
    <w:p w14:paraId="3C447324">
      <w:pPr>
        <w:pageBreakBefore w:val="0"/>
        <w:numPr>
          <w:ilvl w:val="0"/>
          <w:numId w:val="58"/>
        </w:numPr>
        <w:wordWrap/>
        <w:spacing w:before="160" w:after="0"/>
        <w:ind w:left="440" w:right="0" w:hanging="440"/>
        <w:jc w:val="left"/>
        <w:textAlignment w:val="auto"/>
        <w:rPr>
          <w:sz w:val="24"/>
        </w:rPr>
      </w:pPr>
      <w:r>
        <w:rPr>
          <w:rFonts w:ascii="宋体" w:hAnsi="宋体" w:eastAsia="宋体" w:cs="宋体"/>
          <w:b/>
          <w:i w:val="0"/>
          <w:spacing w:val="0"/>
          <w:sz w:val="24"/>
        </w:rPr>
        <w:t>后景留白</w:t>
      </w:r>
      <w:r>
        <w:rPr>
          <w:rFonts w:ascii="宋体" w:hAnsi="宋体" w:eastAsia="宋体" w:cs="宋体"/>
          <w:b w:val="0"/>
          <w:i w:val="0"/>
          <w:spacing w:val="0"/>
          <w:sz w:val="24"/>
        </w:rPr>
        <w:t>：后景适当留白或使用浅色水草，增强空间感和景深</w:t>
      </w:r>
    </w:p>
    <w:p w14:paraId="11855336">
      <w:pPr>
        <w:pageBreakBefore w:val="0"/>
        <w:numPr>
          <w:ilvl w:val="0"/>
          <w:numId w:val="58"/>
        </w:numPr>
        <w:wordWrap/>
        <w:spacing w:before="160" w:after="0"/>
        <w:ind w:left="440" w:right="0" w:hanging="440"/>
        <w:jc w:val="left"/>
        <w:textAlignment w:val="auto"/>
        <w:rPr>
          <w:sz w:val="24"/>
        </w:rPr>
      </w:pPr>
      <w:r>
        <w:rPr>
          <w:rFonts w:ascii="宋体" w:hAnsi="宋体" w:eastAsia="宋体" w:cs="宋体"/>
          <w:b/>
          <w:i w:val="0"/>
          <w:spacing w:val="0"/>
          <w:sz w:val="24"/>
        </w:rPr>
        <w:t>视觉引导</w:t>
      </w:r>
      <w:r>
        <w:rPr>
          <w:rFonts w:ascii="宋体" w:hAnsi="宋体" w:eastAsia="宋体" w:cs="宋体"/>
          <w:b w:val="0"/>
          <w:i w:val="0"/>
          <w:spacing w:val="0"/>
          <w:sz w:val="24"/>
        </w:rPr>
        <w:t>：通过造景元素的布局，引导视线流向焦点区域，增强视觉效果</w:t>
      </w:r>
    </w:p>
    <w:p w14:paraId="57861E6B">
      <w:pPr>
        <w:pageBreakBefore w:val="0"/>
        <w:wordWrap/>
        <w:spacing w:before="160" w:after="0"/>
        <w:ind w:left="0" w:right="0"/>
        <w:jc w:val="left"/>
        <w:textAlignment w:val="auto"/>
        <w:rPr>
          <w:sz w:val="24"/>
        </w:rPr>
      </w:pPr>
      <w:r>
        <w:rPr>
          <w:rFonts w:ascii="宋体" w:hAnsi="宋体" w:eastAsia="宋体" w:cs="宋体"/>
          <w:b w:val="0"/>
          <w:i w:val="0"/>
          <w:spacing w:val="0"/>
          <w:sz w:val="24"/>
        </w:rPr>
        <w:t>视觉优化是一个持续的过程，需在水草生长过程中不断调整和优化，以保持景观的美观度和艺术价值。</w:t>
      </w:r>
    </w:p>
    <w:p w14:paraId="2D2D2B8B">
      <w:pPr>
        <w:pageBreakBefore w:val="0"/>
        <w:wordWrap/>
        <w:spacing w:before="160" w:after="0"/>
        <w:ind w:left="0" w:right="0"/>
        <w:jc w:val="left"/>
        <w:textAlignment w:val="auto"/>
        <w:rPr>
          <w:rFonts w:ascii="宋体" w:hAnsi="宋体" w:eastAsia="宋体" w:cs="宋体"/>
          <w:b/>
          <w:i w:val="0"/>
          <w:spacing w:val="0"/>
          <w:sz w:val="24"/>
        </w:rPr>
      </w:pPr>
    </w:p>
    <w:p w14:paraId="2689E269">
      <w:pPr>
        <w:pageBreakBefore w:val="0"/>
        <w:wordWrap/>
        <w:spacing w:before="160" w:after="0"/>
        <w:ind w:left="0" w:right="0"/>
        <w:jc w:val="left"/>
        <w:textAlignment w:val="auto"/>
        <w:rPr>
          <w:sz w:val="24"/>
        </w:rPr>
      </w:pPr>
      <w:r>
        <w:rPr>
          <w:rFonts w:ascii="宋体" w:hAnsi="宋体" w:eastAsia="宋体" w:cs="宋体"/>
          <w:b/>
          <w:i w:val="0"/>
          <w:spacing w:val="0"/>
          <w:sz w:val="24"/>
        </w:rPr>
        <w:t>4.3.2 水流与气动的调试</w:t>
      </w:r>
    </w:p>
    <w:p w14:paraId="336E6B40">
      <w:pPr>
        <w:pageBreakBefore w:val="0"/>
        <w:wordWrap/>
        <w:spacing w:before="160" w:after="0"/>
        <w:ind w:left="0" w:right="0"/>
        <w:jc w:val="left"/>
        <w:textAlignment w:val="auto"/>
        <w:rPr>
          <w:sz w:val="24"/>
        </w:rPr>
      </w:pPr>
      <w:r>
        <w:rPr>
          <w:rFonts w:ascii="宋体" w:hAnsi="宋体" w:eastAsia="宋体" w:cs="宋体"/>
          <w:b w:val="0"/>
          <w:i w:val="0"/>
          <w:spacing w:val="0"/>
          <w:sz w:val="24"/>
        </w:rPr>
        <w:t>水流与气动的调试是确保水族造景系统稳定运行和景观美观的关键：</w:t>
      </w:r>
    </w:p>
    <w:p w14:paraId="57533A20">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水流强度与分布</w:t>
      </w:r>
    </w:p>
    <w:p w14:paraId="527FC0A2">
      <w:pPr>
        <w:pageBreakBefore w:val="0"/>
        <w:numPr>
          <w:ilvl w:val="0"/>
          <w:numId w:val="59"/>
        </w:numPr>
        <w:wordWrap/>
        <w:spacing w:before="160" w:after="0"/>
        <w:ind w:left="440" w:right="0" w:hanging="440"/>
        <w:jc w:val="left"/>
        <w:textAlignment w:val="auto"/>
        <w:rPr>
          <w:sz w:val="24"/>
        </w:rPr>
      </w:pPr>
      <w:r>
        <w:rPr>
          <w:rFonts w:ascii="宋体" w:hAnsi="宋体" w:eastAsia="宋体" w:cs="宋体"/>
          <w:b/>
          <w:i w:val="0"/>
          <w:spacing w:val="0"/>
          <w:sz w:val="24"/>
        </w:rPr>
        <w:t>阳性草区域</w:t>
      </w:r>
      <w:r>
        <w:rPr>
          <w:rFonts w:ascii="宋体" w:hAnsi="宋体" w:eastAsia="宋体" w:cs="宋体"/>
          <w:b w:val="0"/>
          <w:i w:val="0"/>
          <w:spacing w:val="0"/>
          <w:sz w:val="24"/>
        </w:rPr>
        <w:t>：水流强度0.5-1cm/s，促进叶片伸展和CO₂吸收</w:t>
      </w:r>
    </w:p>
    <w:p w14:paraId="7D12C461">
      <w:pPr>
        <w:pageBreakBefore w:val="0"/>
        <w:numPr>
          <w:ilvl w:val="0"/>
          <w:numId w:val="59"/>
        </w:numPr>
        <w:wordWrap/>
        <w:spacing w:before="160" w:after="0"/>
        <w:ind w:left="440" w:right="0" w:hanging="440"/>
        <w:jc w:val="left"/>
        <w:textAlignment w:val="auto"/>
        <w:rPr>
          <w:sz w:val="24"/>
        </w:rPr>
      </w:pPr>
      <w:r>
        <w:rPr>
          <w:rFonts w:ascii="宋体" w:hAnsi="宋体" w:eastAsia="宋体" w:cs="宋体"/>
          <w:b/>
          <w:i w:val="0"/>
          <w:spacing w:val="0"/>
          <w:sz w:val="24"/>
        </w:rPr>
        <w:t>阴性草区域</w:t>
      </w:r>
      <w:r>
        <w:rPr>
          <w:rFonts w:ascii="宋体" w:hAnsi="宋体" w:eastAsia="宋体" w:cs="宋体"/>
          <w:b w:val="0"/>
          <w:i w:val="0"/>
          <w:spacing w:val="0"/>
          <w:sz w:val="24"/>
        </w:rPr>
        <w:t>：水流强度0.2-0.5cm/s，避免水流过强导致水草倒伏</w:t>
      </w:r>
    </w:p>
    <w:p w14:paraId="36BC239F">
      <w:pPr>
        <w:pageBreakBefore w:val="0"/>
        <w:numPr>
          <w:ilvl w:val="0"/>
          <w:numId w:val="59"/>
        </w:numPr>
        <w:wordWrap/>
        <w:spacing w:before="160" w:after="0"/>
        <w:ind w:left="440" w:right="0" w:hanging="440"/>
        <w:jc w:val="left"/>
        <w:textAlignment w:val="auto"/>
        <w:rPr>
          <w:sz w:val="24"/>
        </w:rPr>
      </w:pPr>
      <w:r>
        <w:rPr>
          <w:rFonts w:ascii="宋体" w:hAnsi="宋体" w:eastAsia="宋体" w:cs="宋体"/>
          <w:b/>
          <w:i w:val="0"/>
          <w:spacing w:val="0"/>
          <w:sz w:val="24"/>
        </w:rPr>
        <w:t>调试工具</w:t>
      </w:r>
      <w:r>
        <w:rPr>
          <w:rFonts w:ascii="宋体" w:hAnsi="宋体" w:eastAsia="宋体" w:cs="宋体"/>
          <w:b w:val="0"/>
          <w:i w:val="0"/>
          <w:spacing w:val="0"/>
          <w:sz w:val="24"/>
        </w:rPr>
        <w:t>：可使用小型水流传感器（如YFS201，精度±10%）或观察水草叶片摆动程度来判断水流强度</w:t>
      </w:r>
    </w:p>
    <w:p w14:paraId="660EB35D">
      <w:pPr>
        <w:pageBreakBefore w:val="0"/>
        <w:numPr>
          <w:ilvl w:val="0"/>
          <w:numId w:val="59"/>
        </w:numPr>
        <w:wordWrap/>
        <w:spacing w:before="160" w:after="0"/>
        <w:ind w:left="440" w:right="0" w:hanging="440"/>
        <w:jc w:val="left"/>
        <w:textAlignment w:val="auto"/>
        <w:rPr>
          <w:sz w:val="24"/>
        </w:rPr>
      </w:pPr>
      <w:r>
        <w:rPr>
          <w:rFonts w:ascii="宋体" w:hAnsi="宋体" w:eastAsia="宋体" w:cs="宋体"/>
          <w:b/>
          <w:i w:val="0"/>
          <w:spacing w:val="0"/>
          <w:sz w:val="24"/>
        </w:rPr>
        <w:t>调试方法</w:t>
      </w:r>
      <w:r>
        <w:rPr>
          <w:rFonts w:ascii="宋体" w:hAnsi="宋体" w:eastAsia="宋体" w:cs="宋体"/>
          <w:b w:val="0"/>
          <w:i w:val="0"/>
          <w:spacing w:val="0"/>
          <w:sz w:val="24"/>
        </w:rPr>
        <w:t>：通过调整水泵功率、出水口位置和角度，控制水流强度和分布</w:t>
      </w:r>
    </w:p>
    <w:p w14:paraId="16F6388A">
      <w:pPr>
        <w:pageBreakBefore w:val="0"/>
        <w:wordWrap/>
        <w:spacing w:before="160" w:after="0"/>
        <w:ind w:left="0" w:right="0"/>
        <w:jc w:val="left"/>
        <w:textAlignment w:val="auto"/>
        <w:rPr>
          <w:sz w:val="24"/>
        </w:rPr>
      </w:pPr>
      <w:r>
        <w:rPr>
          <w:rFonts w:ascii="宋体" w:hAnsi="宋体" w:eastAsia="宋体" w:cs="宋体"/>
          <w:b w:val="0"/>
          <w:i w:val="0"/>
          <w:spacing w:val="0"/>
          <w:sz w:val="24"/>
        </w:rPr>
        <w:t>水流设计需平衡水草生长需求与景观美观，过强水流可能导致水草倒伏，过弱水流则可能导致水质不佳和藻类生长。</w:t>
      </w:r>
    </w:p>
    <w:p w14:paraId="4BFD7BC5">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6B08919A">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气动系统调试</w:t>
      </w:r>
    </w:p>
    <w:p w14:paraId="71D0BD0A">
      <w:pPr>
        <w:pageBreakBefore w:val="0"/>
        <w:wordWrap/>
        <w:spacing w:before="160" w:after="0"/>
        <w:ind w:left="0" w:right="0"/>
        <w:jc w:val="left"/>
        <w:textAlignment w:val="auto"/>
        <w:rPr>
          <w:sz w:val="24"/>
        </w:rPr>
      </w:pPr>
      <w:r>
        <w:rPr>
          <w:rFonts w:ascii="宋体" w:hAnsi="宋体" w:eastAsia="宋体" w:cs="宋体"/>
          <w:b w:val="0"/>
          <w:i w:val="0"/>
          <w:spacing w:val="0"/>
          <w:sz w:val="24"/>
        </w:rPr>
        <w:t>气动系统包括气泵、气石和气泡石等，主要功能包括：</w:t>
      </w:r>
    </w:p>
    <w:p w14:paraId="34CDBC66">
      <w:pPr>
        <w:pageBreakBefore w:val="0"/>
        <w:numPr>
          <w:ilvl w:val="0"/>
          <w:numId w:val="60"/>
        </w:numPr>
        <w:wordWrap/>
        <w:spacing w:before="160" w:after="0"/>
        <w:ind w:left="440" w:right="0" w:hanging="440"/>
        <w:jc w:val="left"/>
        <w:textAlignment w:val="auto"/>
        <w:rPr>
          <w:sz w:val="24"/>
        </w:rPr>
      </w:pPr>
      <w:r>
        <w:rPr>
          <w:rFonts w:ascii="宋体" w:hAnsi="宋体" w:eastAsia="宋体" w:cs="宋体"/>
          <w:b/>
          <w:i w:val="0"/>
          <w:spacing w:val="0"/>
          <w:sz w:val="24"/>
        </w:rPr>
        <w:t>增氧</w:t>
      </w:r>
      <w:r>
        <w:rPr>
          <w:rFonts w:ascii="宋体" w:hAnsi="宋体" w:eastAsia="宋体" w:cs="宋体"/>
          <w:b w:val="0"/>
          <w:i w:val="0"/>
          <w:spacing w:val="0"/>
          <w:sz w:val="24"/>
        </w:rPr>
        <w:t>：保持溶解氧&gt;7mg/L，满足生物需求</w:t>
      </w:r>
    </w:p>
    <w:p w14:paraId="6D77D510">
      <w:pPr>
        <w:pageBreakBefore w:val="0"/>
        <w:numPr>
          <w:ilvl w:val="0"/>
          <w:numId w:val="60"/>
        </w:numPr>
        <w:wordWrap/>
        <w:spacing w:before="160" w:after="0"/>
        <w:ind w:left="440" w:right="0" w:hanging="440"/>
        <w:jc w:val="left"/>
        <w:textAlignment w:val="auto"/>
        <w:rPr>
          <w:sz w:val="24"/>
        </w:rPr>
      </w:pPr>
      <w:r>
        <w:rPr>
          <w:rFonts w:ascii="宋体" w:hAnsi="宋体" w:eastAsia="宋体" w:cs="宋体"/>
          <w:b/>
          <w:i w:val="0"/>
          <w:spacing w:val="0"/>
          <w:sz w:val="24"/>
        </w:rPr>
        <w:t>美观</w:t>
      </w:r>
      <w:r>
        <w:rPr>
          <w:rFonts w:ascii="宋体" w:hAnsi="宋体" w:eastAsia="宋体" w:cs="宋体"/>
          <w:b w:val="0"/>
          <w:i w:val="0"/>
          <w:spacing w:val="0"/>
          <w:sz w:val="24"/>
        </w:rPr>
        <w:t>：气泡通过沉木或石材缝隙上升，形成独特的视觉效果</w:t>
      </w:r>
    </w:p>
    <w:p w14:paraId="6F132636">
      <w:pPr>
        <w:pageBreakBefore w:val="0"/>
        <w:numPr>
          <w:ilvl w:val="0"/>
          <w:numId w:val="60"/>
        </w:numPr>
        <w:wordWrap/>
        <w:spacing w:before="160" w:after="0"/>
        <w:ind w:left="440" w:right="0" w:hanging="440"/>
        <w:jc w:val="left"/>
        <w:textAlignment w:val="auto"/>
        <w:rPr>
          <w:sz w:val="24"/>
        </w:rPr>
      </w:pPr>
      <w:r>
        <w:rPr>
          <w:rFonts w:ascii="宋体" w:hAnsi="宋体" w:eastAsia="宋体" w:cs="宋体"/>
          <w:b/>
          <w:i w:val="0"/>
          <w:spacing w:val="0"/>
          <w:sz w:val="24"/>
        </w:rPr>
        <w:t>调试方法</w:t>
      </w:r>
      <w:r>
        <w:rPr>
          <w:rFonts w:ascii="宋体" w:hAnsi="宋体" w:eastAsia="宋体" w:cs="宋体"/>
          <w:b w:val="0"/>
          <w:i w:val="0"/>
          <w:spacing w:val="0"/>
          <w:sz w:val="24"/>
        </w:rPr>
        <w:t>：调整气泵功率和气石位置，控制气泡大小和分布</w:t>
      </w:r>
    </w:p>
    <w:p w14:paraId="0A6C6006">
      <w:pPr>
        <w:pageBreakBefore w:val="0"/>
        <w:numPr>
          <w:ilvl w:val="0"/>
          <w:numId w:val="60"/>
        </w:numPr>
        <w:wordWrap/>
        <w:spacing w:before="160" w:after="0"/>
        <w:ind w:left="440" w:right="0" w:hanging="440"/>
        <w:jc w:val="left"/>
        <w:textAlignment w:val="auto"/>
        <w:rPr>
          <w:sz w:val="24"/>
        </w:rPr>
      </w:pPr>
      <w:r>
        <w:rPr>
          <w:rFonts w:ascii="宋体" w:hAnsi="宋体" w:eastAsia="宋体" w:cs="宋体"/>
          <w:b/>
          <w:i w:val="0"/>
          <w:spacing w:val="0"/>
          <w:sz w:val="24"/>
        </w:rPr>
        <w:t>注意事项</w:t>
      </w:r>
      <w:r>
        <w:rPr>
          <w:rFonts w:ascii="宋体" w:hAnsi="宋体" w:eastAsia="宋体" w:cs="宋体"/>
          <w:b w:val="0"/>
          <w:i w:val="0"/>
          <w:spacing w:val="0"/>
          <w:sz w:val="24"/>
        </w:rPr>
        <w:t>：避免气泡直接冲击水草根部，导致水草浮起</w:t>
      </w:r>
    </w:p>
    <w:p w14:paraId="18FE29A4">
      <w:pPr>
        <w:pageBreakBefore w:val="0"/>
        <w:wordWrap/>
        <w:spacing w:before="160" w:after="0"/>
        <w:ind w:left="0" w:right="0"/>
        <w:jc w:val="left"/>
        <w:textAlignment w:val="auto"/>
        <w:rPr>
          <w:sz w:val="24"/>
        </w:rPr>
      </w:pPr>
      <w:r>
        <w:rPr>
          <w:rFonts w:ascii="宋体" w:hAnsi="宋体" w:eastAsia="宋体" w:cs="宋体"/>
          <w:b w:val="0"/>
          <w:i w:val="0"/>
          <w:spacing w:val="0"/>
          <w:sz w:val="24"/>
        </w:rPr>
        <w:t>气动系统调试需在不影响水草稳定性的前提下，追求最佳的视觉效果和增氧效果。</w:t>
      </w:r>
    </w:p>
    <w:p w14:paraId="0BE0B0D7">
      <w:pPr>
        <w:pageBreakBefore w:val="0"/>
        <w:wordWrap/>
        <w:spacing w:before="160" w:after="0"/>
        <w:ind w:left="0" w:right="0"/>
        <w:jc w:val="left"/>
        <w:textAlignment w:val="auto"/>
        <w:rPr>
          <w:rFonts w:ascii="宋体" w:hAnsi="宋体" w:eastAsia="宋体" w:cs="宋体"/>
          <w:b/>
          <w:i w:val="0"/>
          <w:spacing w:val="0"/>
          <w:sz w:val="24"/>
        </w:rPr>
      </w:pPr>
    </w:p>
    <w:p w14:paraId="118880BE">
      <w:pPr>
        <w:pageBreakBefore w:val="0"/>
        <w:wordWrap/>
        <w:spacing w:before="160" w:after="0"/>
        <w:ind w:left="0" w:right="0"/>
        <w:jc w:val="left"/>
        <w:textAlignment w:val="auto"/>
        <w:rPr>
          <w:sz w:val="24"/>
        </w:rPr>
      </w:pPr>
      <w:r>
        <w:rPr>
          <w:rFonts w:ascii="宋体" w:hAnsi="宋体" w:eastAsia="宋体" w:cs="宋体"/>
          <w:b/>
          <w:i w:val="0"/>
          <w:spacing w:val="0"/>
          <w:sz w:val="24"/>
        </w:rPr>
        <w:t>4.3.3 初期问题排查与修正</w:t>
      </w:r>
    </w:p>
    <w:p w14:paraId="3E768327">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水族造景初期常见问题包括水质不稳定、水草生长不良和藻类滋生等，需及时排查和修正：</w:t>
      </w:r>
    </w:p>
    <w:p w14:paraId="01B65D31">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①</w:t>
      </w:r>
      <w:r>
        <w:rPr>
          <w:rFonts w:ascii="宋体" w:hAnsi="宋体" w:eastAsia="宋体" w:cs="宋体"/>
          <w:b/>
          <w:i w:val="0"/>
          <w:spacing w:val="0"/>
          <w:sz w:val="24"/>
          <w:szCs w:val="36"/>
        </w:rPr>
        <w:t xml:space="preserve"> 水质问题排查</w:t>
      </w:r>
    </w:p>
    <w:p w14:paraId="10D314C7">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氨超标</w:t>
      </w:r>
      <w:r>
        <w:rPr>
          <w:rFonts w:ascii="宋体" w:hAnsi="宋体" w:eastAsia="宋体" w:cs="宋体"/>
          <w:b w:val="0"/>
          <w:i w:val="0"/>
          <w:spacing w:val="0"/>
          <w:sz w:val="24"/>
        </w:rPr>
        <w:t>：使用氨测试剂检测，若浓度&gt;0.02mg/L，需增加换水频率或调整生物密度</w:t>
      </w:r>
    </w:p>
    <w:p w14:paraId="5E6C9E85">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硝酸盐积累</w:t>
      </w:r>
      <w:r>
        <w:rPr>
          <w:rFonts w:ascii="宋体" w:hAnsi="宋体" w:eastAsia="宋体" w:cs="宋体"/>
          <w:b w:val="0"/>
          <w:i w:val="0"/>
          <w:spacing w:val="0"/>
          <w:sz w:val="24"/>
        </w:rPr>
        <w:t>：使用硝酸盐测试剂检测，若浓度&gt;10mg/L，需增加换水频率或减少生物排泄物</w:t>
      </w:r>
    </w:p>
    <w:p w14:paraId="20A4944F">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pH波动</w:t>
      </w:r>
      <w:r>
        <w:rPr>
          <w:rFonts w:ascii="宋体" w:hAnsi="宋体" w:eastAsia="宋体" w:cs="宋体"/>
          <w:b w:val="0"/>
          <w:i w:val="0"/>
          <w:spacing w:val="0"/>
          <w:sz w:val="24"/>
        </w:rPr>
        <w:t>：使用pH测试剂检测，若波动&gt;0.5，需添加缓冲剂或调整底床材料</w:t>
      </w:r>
    </w:p>
    <w:p w14:paraId="4AACAC38">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CO₂不足</w:t>
      </w:r>
      <w:r>
        <w:rPr>
          <w:rFonts w:ascii="宋体" w:hAnsi="宋体" w:eastAsia="宋体" w:cs="宋体"/>
          <w:b w:val="0"/>
          <w:i w:val="0"/>
          <w:spacing w:val="0"/>
          <w:sz w:val="24"/>
        </w:rPr>
        <w:t>：使用CO₂测试剂检测，若浓度&lt;20ppm（阳性草）或&lt;10ppm（阴性草），需增加CO₂供应</w:t>
      </w:r>
    </w:p>
    <w:p w14:paraId="2924FBFE">
      <w:pPr>
        <w:pageBreakBefore w:val="0"/>
        <w:wordWrap/>
        <w:spacing w:before="160" w:after="0"/>
        <w:ind w:left="0" w:right="0"/>
        <w:jc w:val="left"/>
        <w:textAlignment w:val="auto"/>
        <w:rPr>
          <w:sz w:val="24"/>
        </w:rPr>
      </w:pPr>
      <w:r>
        <w:rPr>
          <w:rFonts w:ascii="宋体" w:hAnsi="宋体" w:eastAsia="宋体" w:cs="宋体"/>
          <w:b w:val="0"/>
          <w:i w:val="0"/>
          <w:spacing w:val="0"/>
          <w:sz w:val="24"/>
        </w:rPr>
        <w:t>水质问题通常在开缸后1-2周内出现，需密切监测并及时调整。</w:t>
      </w:r>
    </w:p>
    <w:p w14:paraId="424D5191">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59196B68">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②</w:t>
      </w:r>
      <w:r>
        <w:rPr>
          <w:rFonts w:ascii="宋体" w:hAnsi="宋体" w:eastAsia="宋体" w:cs="宋体"/>
          <w:b/>
          <w:i w:val="0"/>
          <w:spacing w:val="0"/>
          <w:sz w:val="24"/>
          <w:szCs w:val="36"/>
        </w:rPr>
        <w:t xml:space="preserve"> 水草问题排查</w:t>
      </w:r>
    </w:p>
    <w:p w14:paraId="6DA60249">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黄叶</w:t>
      </w:r>
      <w:r>
        <w:rPr>
          <w:rFonts w:ascii="宋体" w:hAnsi="宋体" w:eastAsia="宋体" w:cs="宋体"/>
          <w:b w:val="0"/>
          <w:i w:val="0"/>
          <w:spacing w:val="0"/>
          <w:sz w:val="24"/>
        </w:rPr>
        <w:t>：可能是缺铁（添加螯合铁）、光照不足或CO₂不足</w:t>
      </w:r>
    </w:p>
    <w:p w14:paraId="06354FBD">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烂根</w:t>
      </w:r>
      <w:r>
        <w:rPr>
          <w:rFonts w:ascii="宋体" w:hAnsi="宋体" w:eastAsia="宋体" w:cs="宋体"/>
          <w:b w:val="0"/>
          <w:i w:val="0"/>
          <w:spacing w:val="0"/>
          <w:sz w:val="24"/>
        </w:rPr>
        <w:t>：可能是底床过湿、水温过高或水质不佳</w:t>
      </w:r>
    </w:p>
    <w:p w14:paraId="2A9C920F">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生长缓慢</w:t>
      </w:r>
      <w:r>
        <w:rPr>
          <w:rFonts w:ascii="宋体" w:hAnsi="宋体" w:eastAsia="宋体" w:cs="宋体"/>
          <w:b w:val="0"/>
          <w:i w:val="0"/>
          <w:spacing w:val="0"/>
          <w:sz w:val="24"/>
        </w:rPr>
        <w:t>：可能是光照不足、CO₂不足或养分缺乏</w:t>
      </w:r>
    </w:p>
    <w:p w14:paraId="1FE87DED">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徒长</w:t>
      </w:r>
      <w:r>
        <w:rPr>
          <w:rFonts w:ascii="宋体" w:hAnsi="宋体" w:eastAsia="宋体" w:cs="宋体"/>
          <w:b w:val="0"/>
          <w:i w:val="0"/>
          <w:spacing w:val="0"/>
          <w:sz w:val="24"/>
        </w:rPr>
        <w:t>：可能是光照不足或CO₂不足，导致水草向上生长寻求更多光照</w:t>
      </w:r>
    </w:p>
    <w:p w14:paraId="7D483F88">
      <w:pPr>
        <w:pageBreakBefore w:val="0"/>
        <w:wordWrap/>
        <w:spacing w:before="160" w:after="0"/>
        <w:ind w:left="0" w:right="0"/>
        <w:jc w:val="left"/>
        <w:textAlignment w:val="auto"/>
        <w:rPr>
          <w:sz w:val="24"/>
        </w:rPr>
      </w:pPr>
      <w:r>
        <w:rPr>
          <w:rFonts w:ascii="宋体" w:hAnsi="宋体" w:eastAsia="宋体" w:cs="宋体"/>
          <w:b w:val="0"/>
          <w:i w:val="0"/>
          <w:spacing w:val="0"/>
          <w:sz w:val="24"/>
        </w:rPr>
        <w:t>水草问题需结合具体症状和环境条件综合判断，通过调整光照、CO₂和养分供应等参数，解决水草生长不良问题。</w:t>
      </w:r>
    </w:p>
    <w:p w14:paraId="0424CB82">
      <w:pPr>
        <w:pageBreakBefore w:val="0"/>
        <w:wordWrap/>
        <w:spacing w:before="160" w:after="0"/>
        <w:ind w:left="0" w:right="0"/>
        <w:jc w:val="left"/>
        <w:textAlignment w:val="auto"/>
        <w:rPr>
          <w:rFonts w:hint="eastAsia" w:ascii="宋体" w:hAnsi="宋体" w:eastAsia="宋体" w:cs="宋体"/>
          <w:b/>
          <w:i w:val="0"/>
          <w:spacing w:val="0"/>
          <w:sz w:val="24"/>
          <w:szCs w:val="36"/>
          <w:lang w:val="en-US" w:eastAsia="zh-CN"/>
        </w:rPr>
      </w:pPr>
    </w:p>
    <w:p w14:paraId="1AA31D95">
      <w:pPr>
        <w:pageBreakBefore w:val="0"/>
        <w:wordWrap/>
        <w:spacing w:before="160" w:after="0"/>
        <w:ind w:left="0" w:right="0"/>
        <w:jc w:val="left"/>
        <w:textAlignment w:val="auto"/>
        <w:rPr>
          <w:sz w:val="24"/>
          <w:szCs w:val="36"/>
        </w:rPr>
      </w:pPr>
      <w:r>
        <w:rPr>
          <w:rFonts w:hint="eastAsia" w:ascii="宋体" w:hAnsi="宋体" w:eastAsia="宋体" w:cs="宋体"/>
          <w:b/>
          <w:i w:val="0"/>
          <w:spacing w:val="0"/>
          <w:sz w:val="24"/>
          <w:szCs w:val="36"/>
          <w:lang w:val="en-US" w:eastAsia="zh-CN"/>
        </w:rPr>
        <w:t>③</w:t>
      </w:r>
      <w:r>
        <w:rPr>
          <w:rFonts w:ascii="宋体" w:hAnsi="宋体" w:eastAsia="宋体" w:cs="宋体"/>
          <w:b/>
          <w:i w:val="0"/>
          <w:spacing w:val="0"/>
          <w:sz w:val="24"/>
          <w:szCs w:val="36"/>
        </w:rPr>
        <w:t xml:space="preserve"> 藻类问题处理</w:t>
      </w:r>
    </w:p>
    <w:p w14:paraId="38D50D55">
      <w:pPr>
        <w:pageBreakBefore w:val="0"/>
        <w:wordWrap/>
        <w:spacing w:before="160" w:after="0"/>
        <w:ind w:left="0" w:right="0"/>
        <w:jc w:val="left"/>
        <w:textAlignment w:val="auto"/>
        <w:rPr>
          <w:sz w:val="24"/>
        </w:rPr>
      </w:pPr>
      <w:r>
        <w:rPr>
          <w:rFonts w:ascii="宋体" w:hAnsi="宋体" w:eastAsia="宋体" w:cs="宋体"/>
          <w:b w:val="0"/>
          <w:i w:val="0"/>
          <w:spacing w:val="0"/>
          <w:sz w:val="24"/>
        </w:rPr>
        <w:t>藻类问题通常在系统不稳定期出现，常见类型及处理方法：</w:t>
      </w:r>
    </w:p>
    <w:p w14:paraId="1988B60E">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丝藻</w:t>
      </w:r>
      <w:r>
        <w:rPr>
          <w:rFonts w:ascii="宋体" w:hAnsi="宋体" w:eastAsia="宋体" w:cs="宋体"/>
          <w:b w:val="0"/>
          <w:i w:val="0"/>
          <w:spacing w:val="0"/>
          <w:sz w:val="24"/>
        </w:rPr>
        <w:t>：控制光照强度（&lt;1000Lux）和CO₂浓度（&lt;10ppm），增加除藻生物（如黑壳虾）</w:t>
      </w:r>
    </w:p>
    <w:p w14:paraId="2B68396C">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褐藻</w:t>
      </w:r>
      <w:r>
        <w:rPr>
          <w:rFonts w:ascii="宋体" w:hAnsi="宋体" w:eastAsia="宋体" w:cs="宋体"/>
          <w:b w:val="0"/>
          <w:i w:val="0"/>
          <w:spacing w:val="0"/>
          <w:sz w:val="24"/>
        </w:rPr>
        <w:t>：控制光照周期（&lt;8小时/天）和CO₂浓度（&lt;5ppm），增加除藻生物</w:t>
      </w:r>
    </w:p>
    <w:p w14:paraId="17BA25D7">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绿斑藻</w:t>
      </w:r>
      <w:r>
        <w:rPr>
          <w:rFonts w:ascii="宋体" w:hAnsi="宋体" w:eastAsia="宋体" w:cs="宋体"/>
          <w:b w:val="0"/>
          <w:i w:val="0"/>
          <w:spacing w:val="0"/>
          <w:sz w:val="24"/>
        </w:rPr>
        <w:t>：控制氮磷比（N:P约10:1），增加除藻生物，调整光照角度</w:t>
      </w:r>
    </w:p>
    <w:p w14:paraId="0BBC9916">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黑毛藻</w:t>
      </w:r>
      <w:r>
        <w:rPr>
          <w:rFonts w:ascii="宋体" w:hAnsi="宋体" w:eastAsia="宋体" w:cs="宋体"/>
          <w:b w:val="0"/>
          <w:i w:val="0"/>
          <w:spacing w:val="0"/>
          <w:sz w:val="24"/>
        </w:rPr>
        <w:t>：控制光照强度和CO₂浓度，增加除藻生物，调整水草种植密度</w:t>
      </w:r>
    </w:p>
    <w:p w14:paraId="0622FD3F">
      <w:pPr>
        <w:pageBreakBefore w:val="0"/>
        <w:wordWrap/>
        <w:spacing w:before="160" w:after="0"/>
        <w:ind w:left="0" w:right="0"/>
        <w:jc w:val="left"/>
        <w:textAlignment w:val="auto"/>
        <w:rPr>
          <w:sz w:val="24"/>
        </w:rPr>
      </w:pPr>
      <w:r>
        <w:rPr>
          <w:rFonts w:ascii="宋体" w:hAnsi="宋体" w:eastAsia="宋体" w:cs="宋体"/>
          <w:b w:val="0"/>
          <w:i w:val="0"/>
          <w:spacing w:val="0"/>
          <w:sz w:val="24"/>
        </w:rPr>
        <w:t>藻类问题的处理应遵循"预防为主、治疗为辅"的原则，通过控制环境参数和增加除藻生物，减少化学药剂的使用。</w:t>
      </w:r>
    </w:p>
    <w:p w14:paraId="799F04D0">
      <w:pPr>
        <w:pageBreakBefore w:val="0"/>
        <w:wordWrap/>
        <w:spacing w:before="160" w:after="0"/>
        <w:ind w:left="0" w:right="0"/>
        <w:jc w:val="left"/>
        <w:textAlignment w:val="auto"/>
        <w:rPr>
          <w:sz w:val="28"/>
        </w:rPr>
      </w:pPr>
      <w:r>
        <w:rPr>
          <w:rFonts w:ascii="宋体" w:hAnsi="宋体" w:eastAsia="宋体" w:cs="宋体"/>
          <w:b/>
          <w:i w:val="0"/>
          <w:spacing w:val="0"/>
          <w:sz w:val="28"/>
        </w:rPr>
        <w:t>结论</w:t>
      </w:r>
    </w:p>
    <w:p w14:paraId="57A9141F">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水族造景是一项融合艺术与科学的综合性活动，通过精心设计的水下景观，为人们提供视觉享受、减压放松和生态教育等多重价值。</w:t>
      </w:r>
      <w:r>
        <w:rPr>
          <w:rFonts w:ascii="宋体" w:hAnsi="宋体" w:eastAsia="宋体" w:cs="宋体"/>
          <w:b/>
          <w:i w:val="0"/>
          <w:spacing w:val="0"/>
          <w:sz w:val="24"/>
        </w:rPr>
        <w:t>从美学设计原则到生态设计原理，从材料选择到施工技巧，水族造景的每一个环节都需要科学的态度和专业的知识</w:t>
      </w:r>
      <w:r>
        <w:rPr>
          <w:rFonts w:ascii="宋体" w:hAnsi="宋体" w:eastAsia="宋体" w:cs="宋体"/>
          <w:b w:val="0"/>
          <w:i w:val="0"/>
          <w:spacing w:val="0"/>
          <w:sz w:val="24"/>
        </w:rPr>
        <w:t>。</w:t>
      </w:r>
    </w:p>
    <w:p w14:paraId="730254CD">
      <w:pPr>
        <w:pageBreakBefore w:val="0"/>
        <w:wordWrap/>
        <w:spacing w:before="160" w:after="0"/>
        <w:ind w:left="0" w:right="0"/>
        <w:jc w:val="left"/>
        <w:textAlignment w:val="auto"/>
        <w:rPr>
          <w:sz w:val="24"/>
        </w:rPr>
      </w:pPr>
      <w:r>
        <w:rPr>
          <w:rFonts w:ascii="宋体" w:hAnsi="宋体" w:eastAsia="宋体" w:cs="宋体"/>
          <w:b w:val="0"/>
          <w:i w:val="0"/>
          <w:spacing w:val="0"/>
          <w:sz w:val="24"/>
        </w:rPr>
        <w:t>随着技术进步和市场需求变化，水族造景正从传统的手工艺术向智能化、系统化的方向发展，新型材料和智能设备的应用为水族造景带来了更多可能性和便利性。同时，水族造景的应用场景也在不断扩展，从家庭装饰到商业空间，从艺术展示到教育科普，其社会价值和经济价值日益凸显。</w:t>
      </w:r>
    </w:p>
    <w:p w14:paraId="6BA80E37">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水族造景的成功不仅取决于美学设计的精巧，更依赖于生态系统的稳定和功能性设计的合理。</w:t>
      </w:r>
      <w:r>
        <w:rPr>
          <w:rFonts w:ascii="宋体" w:hAnsi="宋体" w:eastAsia="宋体" w:cs="宋体"/>
          <w:b/>
          <w:i w:val="0"/>
          <w:spacing w:val="0"/>
          <w:sz w:val="24"/>
        </w:rPr>
        <w:t>只有将美学、生态和功能三大设计原则有机结合，才能创造出既美观又稳定的优秀水族造景作品</w:t>
      </w:r>
      <w:r>
        <w:rPr>
          <w:rFonts w:ascii="宋体" w:hAnsi="宋体" w:eastAsia="宋体" w:cs="宋体"/>
          <w:b w:val="0"/>
          <w:i w:val="0"/>
          <w:spacing w:val="0"/>
          <w:sz w:val="24"/>
        </w:rPr>
        <w:t>。</w:t>
      </w:r>
    </w:p>
    <w:p w14:paraId="68F6987E">
      <w:pPr>
        <w:spacing w:line="240" w:lineRule="auto"/>
        <w:ind w:left="0" w:firstLine="0"/>
        <w:rPr>
          <w:rFonts w:hint="default" w:eastAsiaTheme="minorEastAsia"/>
          <w:lang w:val="en-US" w:eastAsia="zh-CN"/>
        </w:rPr>
      </w:pPr>
    </w:p>
    <w:p w14:paraId="40E5645F">
      <w:pPr>
        <w:spacing w:line="240" w:lineRule="auto"/>
        <w:ind w:left="0" w:firstLine="0"/>
        <w:rPr>
          <w:rFonts w:hint="default" w:eastAsiaTheme="minorEastAsia"/>
          <w:lang w:val="en-US" w:eastAsia="zh-CN"/>
        </w:rPr>
      </w:pPr>
    </w:p>
    <w:p w14:paraId="3B996E0A">
      <w:pPr>
        <w:pageBreakBefore w:val="0"/>
        <w:wordWrap/>
        <w:spacing w:before="160" w:after="0"/>
        <w:ind w:left="0" w:right="0"/>
        <w:jc w:val="left"/>
        <w:textAlignment w:val="auto"/>
        <w:rPr>
          <w:sz w:val="36"/>
        </w:rPr>
      </w:pPr>
      <w:r>
        <w:rPr>
          <w:rFonts w:ascii="宋体" w:hAnsi="宋体" w:eastAsia="宋体" w:cs="宋体"/>
          <w:b/>
          <w:i w:val="0"/>
          <w:spacing w:val="0"/>
          <w:sz w:val="36"/>
        </w:rPr>
        <w:t>5 维护与管理</w:t>
      </w:r>
    </w:p>
    <w:p w14:paraId="53544A4A">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水族造景的终极考验在于</w:t>
      </w:r>
      <w:r>
        <w:rPr>
          <w:rFonts w:ascii="宋体" w:hAnsi="宋体" w:eastAsia="宋体" w:cs="宋体"/>
          <w:b/>
          <w:i w:val="0"/>
          <w:spacing w:val="0"/>
          <w:sz w:val="24"/>
        </w:rPr>
        <w:t>维护管理</w:t>
      </w:r>
      <w:r>
        <w:rPr>
          <w:rFonts w:ascii="宋体" w:hAnsi="宋体" w:eastAsia="宋体" w:cs="宋体"/>
          <w:b w:val="0"/>
          <w:i w:val="0"/>
          <w:spacing w:val="0"/>
          <w:sz w:val="24"/>
        </w:rPr>
        <w:t>，它决定了作品的持久生命力与艺术价值能否长期呈现。一个精心设计的造景若缺乏科学的维护，可能在数日内崩溃，导致生物死亡、景观破坏。反之，通过系统化管理，造景可保持数年稳定，甚至随时间推移呈现出更自然、更和谐的视觉效果。根据2026年最新数据，中国水族造景市场中，维护服务已成为增长最快的细分领域，年复合增长率达25%，远超造景设备（15%）和材料（12%）的增速。本章将从日常维护、长期管理策略到高级管理技术三个层面，全面解析水族造景的维护管理体系。</w:t>
      </w:r>
    </w:p>
    <w:p w14:paraId="75F1AD39">
      <w:pPr>
        <w:pageBreakBefore w:val="0"/>
        <w:wordWrap/>
        <w:spacing w:before="160" w:after="0"/>
        <w:ind w:left="0" w:right="0"/>
        <w:jc w:val="left"/>
        <w:textAlignment w:val="auto"/>
        <w:rPr>
          <w:sz w:val="28"/>
        </w:rPr>
      </w:pPr>
      <w:r>
        <w:rPr>
          <w:rFonts w:ascii="宋体" w:hAnsi="宋体" w:eastAsia="宋体" w:cs="宋体"/>
          <w:b/>
          <w:i w:val="0"/>
          <w:spacing w:val="0"/>
          <w:sz w:val="28"/>
        </w:rPr>
        <w:t>5.1 日常维护</w:t>
      </w:r>
    </w:p>
    <w:p w14:paraId="349057D5">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日常维护是水族造景稳定运行的基石，需要建立规律的维护节奏与标准化操作流程。</w:t>
      </w:r>
      <w:r>
        <w:rPr>
          <w:rFonts w:ascii="宋体" w:hAnsi="宋体" w:eastAsia="宋体" w:cs="宋体"/>
          <w:b/>
          <w:i w:val="0"/>
          <w:spacing w:val="0"/>
          <w:sz w:val="24"/>
        </w:rPr>
        <w:t>维护频率与强度</w:t>
      </w:r>
      <w:r>
        <w:rPr>
          <w:rFonts w:ascii="宋体" w:hAnsi="宋体" w:eastAsia="宋体" w:cs="宋体"/>
          <w:b w:val="0"/>
          <w:i w:val="0"/>
          <w:spacing w:val="0"/>
          <w:sz w:val="24"/>
        </w:rPr>
        <w:t>应根据造景风格、缸体规模、生物负载量等因素差异化制定，不可一概而论。</w:t>
      </w:r>
    </w:p>
    <w:p w14:paraId="02138C78">
      <w:pPr>
        <w:pageBreakBefore w:val="0"/>
        <w:wordWrap/>
        <w:spacing w:before="160" w:after="0"/>
        <w:ind w:left="0" w:right="0"/>
        <w:jc w:val="left"/>
        <w:textAlignment w:val="auto"/>
        <w:rPr>
          <w:sz w:val="24"/>
        </w:rPr>
      </w:pPr>
      <w:r>
        <w:rPr>
          <w:rFonts w:ascii="宋体" w:hAnsi="宋体" w:eastAsia="宋体" w:cs="宋体"/>
          <w:b/>
          <w:i w:val="0"/>
          <w:spacing w:val="0"/>
          <w:sz w:val="24"/>
        </w:rPr>
        <w:t>5.1.1 水质监测与换水频率</w:t>
      </w:r>
    </w:p>
    <w:p w14:paraId="73D77DE9">
      <w:pPr>
        <w:pageBreakBefore w:val="0"/>
        <w:wordWrap/>
        <w:spacing w:before="160" w:after="0"/>
        <w:ind w:left="0" w:right="0"/>
        <w:jc w:val="left"/>
        <w:textAlignment w:val="auto"/>
        <w:rPr>
          <w:sz w:val="24"/>
        </w:rPr>
      </w:pPr>
      <w:r>
        <w:rPr>
          <w:rFonts w:ascii="宋体" w:hAnsi="宋体" w:eastAsia="宋体" w:cs="宋体"/>
          <w:b w:val="0"/>
          <w:i w:val="0"/>
          <w:spacing w:val="0"/>
          <w:sz w:val="24"/>
        </w:rPr>
        <w:t>水质监测是维护管理的第一道防线，通过定期检测关键参数，可及时发现潜在问题并采取干预措施。</w:t>
      </w:r>
    </w:p>
    <w:p w14:paraId="3A47E54C">
      <w:pPr>
        <w:pageBreakBefore w:val="0"/>
        <w:wordWrap/>
        <w:spacing w:before="160" w:after="0"/>
        <w:ind w:left="0" w:right="0"/>
        <w:jc w:val="left"/>
        <w:textAlignment w:val="auto"/>
        <w:rPr>
          <w:sz w:val="24"/>
        </w:rPr>
      </w:pPr>
      <w:r>
        <w:rPr>
          <w:rFonts w:ascii="宋体" w:hAnsi="宋体" w:eastAsia="宋体" w:cs="宋体"/>
          <w:b/>
          <w:i w:val="0"/>
          <w:spacing w:val="0"/>
          <w:sz w:val="24"/>
        </w:rPr>
        <w:t>核心水质参数监测表</w:t>
      </w:r>
      <w:r>
        <w:rPr>
          <w:rFonts w:ascii="宋体" w:hAnsi="宋体" w:eastAsia="宋体" w:cs="宋体"/>
          <w:b w:val="0"/>
          <w:i w:val="0"/>
          <w:spacing w:val="0"/>
          <w:sz w:val="24"/>
        </w:rPr>
        <w:t>：</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60"/>
        <w:gridCol w:w="2060"/>
        <w:gridCol w:w="2060"/>
        <w:gridCol w:w="2060"/>
      </w:tblGrid>
      <w:tr w14:paraId="06B1A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shd w:val="clear" w:color="auto" w:fill="EEEEEE"/>
          </w:tcPr>
          <w:p w14:paraId="75DC778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参数</w:t>
            </w:r>
          </w:p>
        </w:tc>
        <w:tc>
          <w:tcPr>
            <w:tcW w:w="2060" w:type="dxa"/>
            <w:shd w:val="clear" w:color="auto" w:fill="EEEEEE"/>
          </w:tcPr>
          <w:p w14:paraId="21B1EAB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监测频率</w:t>
            </w:r>
          </w:p>
        </w:tc>
        <w:tc>
          <w:tcPr>
            <w:tcW w:w="2060" w:type="dxa"/>
            <w:shd w:val="clear" w:color="auto" w:fill="EEEEEE"/>
          </w:tcPr>
          <w:p w14:paraId="117EE41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安全范围</w:t>
            </w:r>
          </w:p>
        </w:tc>
        <w:tc>
          <w:tcPr>
            <w:tcW w:w="2060" w:type="dxa"/>
            <w:shd w:val="clear" w:color="auto" w:fill="EEEEEE"/>
          </w:tcPr>
          <w:p w14:paraId="559B1BA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异常处理方法</w:t>
            </w:r>
          </w:p>
        </w:tc>
      </w:tr>
      <w:tr w14:paraId="23E9FB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2800DAA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氨（NH₃）</w:t>
            </w:r>
          </w:p>
        </w:tc>
        <w:tc>
          <w:tcPr>
            <w:tcW w:w="2060" w:type="dxa"/>
          </w:tcPr>
          <w:p w14:paraId="1C84913F">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54F84E7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&lt;0.02mg/L</w:t>
            </w:r>
          </w:p>
        </w:tc>
        <w:tc>
          <w:tcPr>
            <w:tcW w:w="2060" w:type="dxa"/>
          </w:tcPr>
          <w:p w14:paraId="38BABDB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立即换水50%，暂停喂食，添加硝化细菌制剂</w:t>
            </w:r>
          </w:p>
        </w:tc>
      </w:tr>
      <w:tr w14:paraId="40F4CC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596BC75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亚硝酸盐（NO₂⁻）</w:t>
            </w:r>
          </w:p>
        </w:tc>
        <w:tc>
          <w:tcPr>
            <w:tcW w:w="2060" w:type="dxa"/>
          </w:tcPr>
          <w:p w14:paraId="7B378B1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551AAF6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&lt;0.05mg/L</w:t>
            </w:r>
          </w:p>
        </w:tc>
        <w:tc>
          <w:tcPr>
            <w:tcW w:w="2060" w:type="dxa"/>
          </w:tcPr>
          <w:p w14:paraId="1FB4B54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换水30%，使用亚硝酸盐去除剂</w:t>
            </w:r>
          </w:p>
        </w:tc>
      </w:tr>
      <w:tr w14:paraId="060910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29D585C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硝酸盐（NO₃⁻）</w:t>
            </w:r>
          </w:p>
        </w:tc>
        <w:tc>
          <w:tcPr>
            <w:tcW w:w="2060" w:type="dxa"/>
          </w:tcPr>
          <w:p w14:paraId="57A38D0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5E3C57C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5-20mg/L</w:t>
            </w:r>
          </w:p>
        </w:tc>
        <w:tc>
          <w:tcPr>
            <w:tcW w:w="2060" w:type="dxa"/>
          </w:tcPr>
          <w:p w14:paraId="169C962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换水15%-30%，控制喂食量</w:t>
            </w:r>
          </w:p>
        </w:tc>
      </w:tr>
      <w:tr w14:paraId="4A5481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1067198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磷酸盐（PO₄³⁻）</w:t>
            </w:r>
          </w:p>
        </w:tc>
        <w:tc>
          <w:tcPr>
            <w:tcW w:w="2060" w:type="dxa"/>
          </w:tcPr>
          <w:p w14:paraId="29D2937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每两周一次</w:t>
            </w:r>
          </w:p>
        </w:tc>
        <w:tc>
          <w:tcPr>
            <w:tcW w:w="2060" w:type="dxa"/>
          </w:tcPr>
          <w:p w14:paraId="7F76501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&lt;0.5mg/L</w:t>
            </w:r>
          </w:p>
        </w:tc>
        <w:tc>
          <w:tcPr>
            <w:tcW w:w="2060" w:type="dxa"/>
          </w:tcPr>
          <w:p w14:paraId="10F6644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活性炭吸附或使用磷酸盐去除剂</w:t>
            </w:r>
          </w:p>
        </w:tc>
      </w:tr>
      <w:tr w14:paraId="7C719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186C403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pH值</w:t>
            </w:r>
          </w:p>
        </w:tc>
        <w:tc>
          <w:tcPr>
            <w:tcW w:w="2060" w:type="dxa"/>
          </w:tcPr>
          <w:p w14:paraId="4760FC9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每周一次</w:t>
            </w:r>
          </w:p>
        </w:tc>
        <w:tc>
          <w:tcPr>
            <w:tcW w:w="2060" w:type="dxa"/>
          </w:tcPr>
          <w:p w14:paraId="24F5685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6.5-7.5（因生物而异）</w:t>
            </w:r>
          </w:p>
        </w:tc>
        <w:tc>
          <w:tcPr>
            <w:tcW w:w="2060" w:type="dxa"/>
          </w:tcPr>
          <w:p w14:paraId="5845B16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使用pH调节剂或调整底床材料</w:t>
            </w:r>
          </w:p>
        </w:tc>
      </w:tr>
      <w:tr w14:paraId="4BEE5E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48D94F6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GH/KH</w:t>
            </w:r>
          </w:p>
        </w:tc>
        <w:tc>
          <w:tcPr>
            <w:tcW w:w="2060" w:type="dxa"/>
          </w:tcPr>
          <w:p w14:paraId="2552FDB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每月一次</w:t>
            </w:r>
          </w:p>
        </w:tc>
        <w:tc>
          <w:tcPr>
            <w:tcW w:w="2060" w:type="dxa"/>
          </w:tcPr>
          <w:p w14:paraId="0B425F2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GH 4-8°dH；KH 3-6°dH</w:t>
            </w:r>
          </w:p>
        </w:tc>
        <w:tc>
          <w:tcPr>
            <w:tcW w:w="2060" w:type="dxa"/>
          </w:tcPr>
          <w:p w14:paraId="6F94CB6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根据需求使用软化剂或增加碳酸氢钠</w:t>
            </w:r>
          </w:p>
        </w:tc>
      </w:tr>
      <w:tr w14:paraId="004BFB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5314DFA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溶解氧</w:t>
            </w:r>
          </w:p>
        </w:tc>
        <w:tc>
          <w:tcPr>
            <w:tcW w:w="2060" w:type="dxa"/>
          </w:tcPr>
          <w:p w14:paraId="16B0D13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每日观察</w:t>
            </w:r>
          </w:p>
        </w:tc>
        <w:tc>
          <w:tcPr>
            <w:tcW w:w="2060" w:type="dxa"/>
          </w:tcPr>
          <w:p w14:paraId="082509CF">
            <w:pPr>
              <w:pageBreakBefore w:val="0"/>
              <w:wordWrap/>
              <w:spacing w:before="0" w:after="0"/>
              <w:ind w:left="0" w:right="0" w:firstLine="0"/>
              <w:jc w:val="left"/>
              <w:textAlignment w:val="auto"/>
              <w:rPr>
                <w:sz w:val="24"/>
              </w:rPr>
            </w:pPr>
            <w:r>
              <w:rPr>
                <w:rFonts w:ascii="宋体" w:hAnsi="宋体" w:eastAsia="宋体" w:cs="宋体"/>
                <w:b w:val="0"/>
                <w:i w:val="0"/>
                <w:spacing w:val="0"/>
                <w:sz w:val="24"/>
              </w:rPr>
              <w:t>&gt;7mg/L</w:t>
            </w:r>
          </w:p>
        </w:tc>
        <w:tc>
          <w:tcPr>
            <w:tcW w:w="2060" w:type="dxa"/>
          </w:tcPr>
          <w:p w14:paraId="483D657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增加曝气或减少生物密度</w:t>
            </w:r>
          </w:p>
        </w:tc>
      </w:tr>
      <w:tr w14:paraId="73E64F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1419722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温度</w:t>
            </w:r>
          </w:p>
        </w:tc>
        <w:tc>
          <w:tcPr>
            <w:tcW w:w="2060" w:type="dxa"/>
          </w:tcPr>
          <w:p w14:paraId="52A7698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每日观察</w:t>
            </w:r>
          </w:p>
        </w:tc>
        <w:tc>
          <w:tcPr>
            <w:tcW w:w="2060" w:type="dxa"/>
          </w:tcPr>
          <w:p w14:paraId="49E7079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22-26℃（因生物而异）</w:t>
            </w:r>
          </w:p>
        </w:tc>
        <w:tc>
          <w:tcPr>
            <w:tcW w:w="2060" w:type="dxa"/>
          </w:tcPr>
          <w:p w14:paraId="156B0AB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调整加热棒或温控系统</w:t>
            </w:r>
          </w:p>
        </w:tc>
      </w:tr>
    </w:tbl>
    <w:p w14:paraId="1D5D7452">
      <w:pPr>
        <w:pageBreakBefore w:val="0"/>
        <w:wordWrap/>
        <w:spacing w:before="160" w:after="0"/>
        <w:ind w:left="0" w:right="0"/>
        <w:jc w:val="left"/>
        <w:textAlignment w:val="auto"/>
        <w:rPr>
          <w:rFonts w:ascii="宋体" w:hAnsi="宋体" w:eastAsia="宋体" w:cs="宋体"/>
          <w:b/>
          <w:i w:val="0"/>
          <w:spacing w:val="0"/>
          <w:sz w:val="24"/>
        </w:rPr>
      </w:pPr>
    </w:p>
    <w:p w14:paraId="33A39F91">
      <w:pPr>
        <w:pageBreakBefore w:val="0"/>
        <w:wordWrap/>
        <w:spacing w:before="160" w:after="0"/>
        <w:ind w:left="0" w:right="0"/>
        <w:jc w:val="left"/>
        <w:textAlignment w:val="auto"/>
        <w:rPr>
          <w:sz w:val="24"/>
        </w:rPr>
      </w:pPr>
      <w:r>
        <w:rPr>
          <w:rFonts w:ascii="宋体" w:hAnsi="宋体" w:eastAsia="宋体" w:cs="宋体"/>
          <w:b/>
          <w:i w:val="0"/>
          <w:spacing w:val="0"/>
          <w:sz w:val="24"/>
        </w:rPr>
        <w:t>换水频率与方法</w:t>
      </w:r>
      <w:r>
        <w:rPr>
          <w:rFonts w:ascii="宋体" w:hAnsi="宋体" w:eastAsia="宋体" w:cs="宋体"/>
          <w:b w:val="0"/>
          <w:i w:val="0"/>
          <w:spacing w:val="0"/>
          <w:sz w:val="24"/>
        </w:rPr>
        <w:t>：</w:t>
      </w:r>
    </w:p>
    <w:p w14:paraId="794EB200">
      <w:pPr>
        <w:pageBreakBefore w:val="0"/>
        <w:wordWrap/>
        <w:spacing w:before="160" w:after="0"/>
        <w:ind w:left="0" w:right="0"/>
        <w:jc w:val="left"/>
        <w:textAlignment w:val="auto"/>
        <w:rPr>
          <w:sz w:val="24"/>
        </w:rPr>
      </w:pPr>
      <w:r>
        <w:rPr>
          <w:rFonts w:ascii="宋体" w:hAnsi="宋体" w:eastAsia="宋体" w:cs="宋体"/>
          <w:b w:val="0"/>
          <w:i w:val="0"/>
          <w:spacing w:val="0"/>
          <w:sz w:val="24"/>
        </w:rPr>
        <w:t>换水是维持水质稳定的核心手段，但不同规模和风格的缸体需采用差异化策略：</w:t>
      </w:r>
    </w:p>
    <w:p w14:paraId="545A263B">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小型缸（30-60cm）</w:t>
      </w:r>
      <w:r>
        <w:rPr>
          <w:rFonts w:ascii="宋体" w:hAnsi="宋体" w:eastAsia="宋体" w:cs="宋体"/>
          <w:b w:val="0"/>
          <w:i w:val="0"/>
          <w:spacing w:val="0"/>
          <w:sz w:val="24"/>
        </w:rPr>
        <w:t>：每周换水1/4-1/3，夏季可增至1/2。换水前需将新水困24-48小时（静置除氯），使用虹吸管缓慢吸出底部老水，避免扰动底床和植物。</w:t>
      </w:r>
    </w:p>
    <w:p w14:paraId="617B5E34">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中型缸（60-100cm）</w:t>
      </w:r>
      <w:r>
        <w:rPr>
          <w:rFonts w:ascii="宋体" w:hAnsi="宋体" w:eastAsia="宋体" w:cs="宋体"/>
          <w:b w:val="0"/>
          <w:i w:val="0"/>
          <w:spacing w:val="0"/>
          <w:sz w:val="24"/>
        </w:rPr>
        <w:t>：每周换水1/5-1/4，采用"分层换水"法：先换上层水1/4，3-5天后再换底层水1/5，维持水质渐进稳定。</w:t>
      </w:r>
    </w:p>
    <w:p w14:paraId="76E4C809">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大型缸（100cm以上）</w:t>
      </w:r>
      <w:r>
        <w:rPr>
          <w:rFonts w:ascii="宋体" w:hAnsi="宋体" w:eastAsia="宋体" w:cs="宋体"/>
          <w:b w:val="0"/>
          <w:i w:val="0"/>
          <w:spacing w:val="0"/>
          <w:sz w:val="24"/>
        </w:rPr>
        <w:t>：每2周换水1/5，采用"循环换水"法：每次换水后添加适量硝化细菌，确保生物膜稳定。</w:t>
      </w:r>
    </w:p>
    <w:p w14:paraId="55EBC8A6">
      <w:pPr>
        <w:pageBreakBefore w:val="0"/>
        <w:wordWrap/>
        <w:spacing w:before="160" w:after="0"/>
        <w:ind w:left="0" w:right="0"/>
        <w:jc w:val="left"/>
        <w:textAlignment w:val="auto"/>
        <w:rPr>
          <w:rFonts w:ascii="宋体" w:hAnsi="宋体" w:eastAsia="宋体" w:cs="宋体"/>
          <w:b/>
          <w:i w:val="0"/>
          <w:spacing w:val="0"/>
          <w:sz w:val="24"/>
        </w:rPr>
      </w:pPr>
    </w:p>
    <w:p w14:paraId="06722ABF">
      <w:pPr>
        <w:pageBreakBefore w:val="0"/>
        <w:wordWrap/>
        <w:spacing w:before="160" w:after="0"/>
        <w:ind w:left="0" w:right="0"/>
        <w:jc w:val="left"/>
        <w:textAlignment w:val="auto"/>
        <w:rPr>
          <w:sz w:val="24"/>
        </w:rPr>
      </w:pPr>
      <w:r>
        <w:rPr>
          <w:rFonts w:ascii="宋体" w:hAnsi="宋体" w:eastAsia="宋体" w:cs="宋体"/>
          <w:b/>
          <w:i w:val="0"/>
          <w:spacing w:val="0"/>
          <w:sz w:val="24"/>
        </w:rPr>
        <w:t>换水操作要点</w:t>
      </w:r>
      <w:r>
        <w:rPr>
          <w:rFonts w:ascii="宋体" w:hAnsi="宋体" w:eastAsia="宋体" w:cs="宋体"/>
          <w:b w:val="0"/>
          <w:i w:val="0"/>
          <w:spacing w:val="0"/>
          <w:sz w:val="24"/>
        </w:rPr>
        <w:t>：</w:t>
      </w:r>
    </w:p>
    <w:p w14:paraId="7807DC2F">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温度控制</w:t>
      </w:r>
      <w:r>
        <w:rPr>
          <w:rFonts w:ascii="宋体" w:hAnsi="宋体" w:eastAsia="宋体" w:cs="宋体"/>
          <w:b w:val="0"/>
          <w:i w:val="0"/>
          <w:spacing w:val="0"/>
          <w:sz w:val="24"/>
        </w:rPr>
        <w:t>：新水与缸内水温差应≤2℃，夏季可提前将新水放入房间适应室温。</w:t>
      </w:r>
    </w:p>
    <w:p w14:paraId="62150FEB">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水流缓冲</w:t>
      </w:r>
      <w:r>
        <w:rPr>
          <w:rFonts w:ascii="宋体" w:hAnsi="宋体" w:eastAsia="宋体" w:cs="宋体"/>
          <w:b w:val="0"/>
          <w:i w:val="0"/>
          <w:spacing w:val="0"/>
          <w:sz w:val="24"/>
        </w:rPr>
        <w:t>：注水时在缸底放置光滑石块或浮板，缓冲水流冲击，保护底床和水草根系。</w:t>
      </w:r>
    </w:p>
    <w:p w14:paraId="0285663A">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换水后管理</w:t>
      </w:r>
      <w:r>
        <w:rPr>
          <w:rFonts w:ascii="宋体" w:hAnsi="宋体" w:eastAsia="宋体" w:cs="宋体"/>
          <w:b w:val="0"/>
          <w:i w:val="0"/>
          <w:spacing w:val="0"/>
          <w:sz w:val="24"/>
        </w:rPr>
        <w:t>：换水后24小时内避免添加液肥或CO₂，减少生物应激反应。</w:t>
      </w:r>
    </w:p>
    <w:p w14:paraId="5C975FC3">
      <w:pPr>
        <w:pageBreakBefore w:val="0"/>
        <w:wordWrap/>
        <w:spacing w:before="160" w:after="0"/>
        <w:ind w:left="0" w:right="0"/>
        <w:jc w:val="left"/>
        <w:textAlignment w:val="auto"/>
        <w:rPr>
          <w:sz w:val="24"/>
        </w:rPr>
      </w:pPr>
      <w:r>
        <w:rPr>
          <w:rFonts w:ascii="宋体" w:hAnsi="宋体" w:eastAsia="宋体" w:cs="宋体"/>
          <w:b/>
          <w:i w:val="0"/>
          <w:spacing w:val="0"/>
          <w:sz w:val="24"/>
        </w:rPr>
        <w:t>换水频率与风格的关系</w:t>
      </w:r>
      <w:r>
        <w:rPr>
          <w:rFonts w:ascii="宋体" w:hAnsi="宋体" w:eastAsia="宋体" w:cs="宋体"/>
          <w:b w:val="0"/>
          <w:i w:val="0"/>
          <w:spacing w:val="0"/>
          <w:sz w:val="24"/>
        </w:rPr>
        <w:t>：</w:t>
      </w:r>
    </w:p>
    <w:p w14:paraId="4596E0F5">
      <w:pPr>
        <w:pageBreakBefore w:val="0"/>
        <w:wordWrap/>
        <w:spacing w:before="160" w:after="0"/>
        <w:ind w:left="0" w:right="0"/>
        <w:jc w:val="left"/>
        <w:textAlignment w:val="auto"/>
        <w:rPr>
          <w:sz w:val="24"/>
        </w:rPr>
      </w:pPr>
      <w:r>
        <w:rPr>
          <w:rFonts w:ascii="宋体" w:hAnsi="宋体" w:eastAsia="宋体" w:cs="宋体"/>
          <w:b w:val="0"/>
          <w:i w:val="0"/>
          <w:spacing w:val="0"/>
          <w:sz w:val="24"/>
        </w:rPr>
        <w:t>不同风格的水族造景对换水频率有显著差异：</w:t>
      </w:r>
    </w:p>
    <w:p w14:paraId="322A81AB">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自然风格</w:t>
      </w:r>
      <w:r>
        <w:rPr>
          <w:rFonts w:ascii="宋体" w:hAnsi="宋体" w:eastAsia="宋体" w:cs="宋体"/>
          <w:b w:val="0"/>
          <w:i w:val="0"/>
          <w:spacing w:val="0"/>
          <w:sz w:val="24"/>
        </w:rPr>
        <w:t>：每周换水1/4-1/5，因其生物负载较低，生态稳定性较好。</w:t>
      </w:r>
    </w:p>
    <w:p w14:paraId="4AE21F5D">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荷兰式</w:t>
      </w:r>
      <w:r>
        <w:rPr>
          <w:rFonts w:ascii="宋体" w:hAnsi="宋体" w:eastAsia="宋体" w:cs="宋体"/>
          <w:b w:val="0"/>
          <w:i w:val="0"/>
          <w:spacing w:val="0"/>
          <w:sz w:val="24"/>
        </w:rPr>
        <w:t>：每周换水1/3-1/2，因其高密度种植导致养分消耗和代谢产物积累更快。</w:t>
      </w:r>
    </w:p>
    <w:p w14:paraId="09F24794">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日式枯山水</w:t>
      </w:r>
      <w:r>
        <w:rPr>
          <w:rFonts w:ascii="宋体" w:hAnsi="宋体" w:eastAsia="宋体" w:cs="宋体"/>
          <w:b w:val="0"/>
          <w:i w:val="0"/>
          <w:spacing w:val="0"/>
          <w:sz w:val="24"/>
        </w:rPr>
        <w:t>：每2周换水1/5，因其低密度种植和简单布局，水质波动较小。</w:t>
      </w:r>
    </w:p>
    <w:p w14:paraId="43592BB9">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ADA风格</w:t>
      </w:r>
      <w:r>
        <w:rPr>
          <w:rFonts w:ascii="宋体" w:hAnsi="宋体" w:eastAsia="宋体" w:cs="宋体"/>
          <w:b w:val="0"/>
          <w:i w:val="0"/>
          <w:spacing w:val="0"/>
          <w:sz w:val="24"/>
        </w:rPr>
        <w:t>：每周换水1/4，因其生态平衡设计精细，换水过多可能破坏景观效果。</w:t>
      </w:r>
    </w:p>
    <w:p w14:paraId="7D708147">
      <w:pPr>
        <w:pageBreakBefore w:val="0"/>
        <w:wordWrap/>
        <w:spacing w:before="160" w:after="0"/>
        <w:ind w:left="0" w:right="0"/>
        <w:jc w:val="left"/>
        <w:textAlignment w:val="auto"/>
        <w:rPr>
          <w:rFonts w:ascii="宋体" w:hAnsi="宋体" w:eastAsia="宋体" w:cs="宋体"/>
          <w:b/>
          <w:i w:val="0"/>
          <w:spacing w:val="0"/>
          <w:sz w:val="24"/>
        </w:rPr>
      </w:pPr>
    </w:p>
    <w:p w14:paraId="48E3F14F">
      <w:pPr>
        <w:pageBreakBefore w:val="0"/>
        <w:wordWrap/>
        <w:spacing w:before="160" w:after="0"/>
        <w:ind w:left="0" w:right="0"/>
        <w:jc w:val="left"/>
        <w:textAlignment w:val="auto"/>
        <w:rPr>
          <w:sz w:val="24"/>
        </w:rPr>
      </w:pPr>
      <w:r>
        <w:rPr>
          <w:rFonts w:ascii="宋体" w:hAnsi="宋体" w:eastAsia="宋体" w:cs="宋体"/>
          <w:b/>
          <w:i w:val="0"/>
          <w:spacing w:val="0"/>
          <w:sz w:val="24"/>
        </w:rPr>
        <w:t>5.1.2 设备巡检与保养</w:t>
      </w:r>
    </w:p>
    <w:p w14:paraId="02E0C32C">
      <w:pPr>
        <w:pageBreakBefore w:val="0"/>
        <w:wordWrap/>
        <w:spacing w:before="160" w:after="0"/>
        <w:ind w:left="0" w:right="0"/>
        <w:jc w:val="left"/>
        <w:textAlignment w:val="auto"/>
        <w:rPr>
          <w:sz w:val="24"/>
        </w:rPr>
      </w:pPr>
      <w:r>
        <w:rPr>
          <w:rFonts w:ascii="宋体" w:hAnsi="宋体" w:eastAsia="宋体" w:cs="宋体"/>
          <w:b w:val="0"/>
          <w:i w:val="0"/>
          <w:spacing w:val="0"/>
          <w:sz w:val="24"/>
        </w:rPr>
        <w:t>水族箱的设备是维持生态系统稳定运行的"心脏"，定期巡检与保养至关重要。</w:t>
      </w:r>
      <w:r>
        <w:rPr>
          <w:rFonts w:ascii="宋体" w:hAnsi="宋体" w:eastAsia="宋体" w:cs="宋体"/>
          <w:b/>
          <w:i w:val="0"/>
          <w:spacing w:val="0"/>
          <w:sz w:val="24"/>
        </w:rPr>
        <w:t>设备维护不当</w:t>
      </w:r>
      <w:r>
        <w:rPr>
          <w:rFonts w:ascii="宋体" w:hAnsi="宋体" w:eastAsia="宋体" w:cs="宋体"/>
          <w:b w:val="0"/>
          <w:i w:val="0"/>
          <w:spacing w:val="0"/>
          <w:sz w:val="24"/>
        </w:rPr>
        <w:t>是导致系统崩溃的第二大常见原因（仅次于硝化系统崩溃）。</w:t>
      </w:r>
    </w:p>
    <w:p w14:paraId="33E98ABD">
      <w:pPr>
        <w:pageBreakBefore w:val="0"/>
        <w:wordWrap/>
        <w:spacing w:before="160" w:after="0"/>
        <w:ind w:left="0" w:right="0"/>
        <w:jc w:val="left"/>
        <w:textAlignment w:val="auto"/>
        <w:rPr>
          <w:sz w:val="24"/>
        </w:rPr>
      </w:pPr>
      <w:r>
        <w:rPr>
          <w:rFonts w:ascii="宋体" w:hAnsi="宋体" w:eastAsia="宋体" w:cs="宋体"/>
          <w:b/>
          <w:i w:val="0"/>
          <w:spacing w:val="0"/>
          <w:sz w:val="24"/>
        </w:rPr>
        <w:t>核心设备维护周期表</w:t>
      </w:r>
      <w:r>
        <w:rPr>
          <w:rFonts w:ascii="宋体" w:hAnsi="宋体" w:eastAsia="宋体" w:cs="宋体"/>
          <w:b w:val="0"/>
          <w:i w:val="0"/>
          <w:spacing w:val="0"/>
          <w:sz w:val="24"/>
        </w:rPr>
        <w:t>：</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60"/>
        <w:gridCol w:w="2060"/>
        <w:gridCol w:w="2060"/>
        <w:gridCol w:w="2060"/>
      </w:tblGrid>
      <w:tr w14:paraId="6DA34D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shd w:val="clear" w:color="auto" w:fill="EEEEEE"/>
          </w:tcPr>
          <w:p w14:paraId="2C7A9BE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设备类型</w:t>
            </w:r>
          </w:p>
        </w:tc>
        <w:tc>
          <w:tcPr>
            <w:tcW w:w="2060" w:type="dxa"/>
            <w:shd w:val="clear" w:color="auto" w:fill="EEEEEE"/>
          </w:tcPr>
          <w:p w14:paraId="243B948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日常检查</w:t>
            </w:r>
          </w:p>
        </w:tc>
        <w:tc>
          <w:tcPr>
            <w:tcW w:w="2060" w:type="dxa"/>
            <w:shd w:val="clear" w:color="auto" w:fill="EEEEEE"/>
          </w:tcPr>
          <w:p w14:paraId="34BE436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定期清洁</w:t>
            </w:r>
          </w:p>
        </w:tc>
        <w:tc>
          <w:tcPr>
            <w:tcW w:w="2060" w:type="dxa"/>
            <w:shd w:val="clear" w:color="auto" w:fill="EEEEEE"/>
          </w:tcPr>
          <w:p w14:paraId="2A46268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深度维护</w:t>
            </w:r>
          </w:p>
        </w:tc>
      </w:tr>
      <w:tr w14:paraId="02DDF0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7074315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过滤系统</w:t>
            </w:r>
          </w:p>
        </w:tc>
        <w:tc>
          <w:tcPr>
            <w:tcW w:w="2060" w:type="dxa"/>
          </w:tcPr>
          <w:p w14:paraId="00DD17A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水流强度、噪音、堵塞情况</w:t>
            </w:r>
          </w:p>
        </w:tc>
        <w:tc>
          <w:tcPr>
            <w:tcW w:w="2060" w:type="dxa"/>
          </w:tcPr>
          <w:p w14:paraId="25A609B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过滤棉清洗（1-2周/次）、水泵检查</w:t>
            </w:r>
          </w:p>
        </w:tc>
        <w:tc>
          <w:tcPr>
            <w:tcW w:w="2060" w:type="dxa"/>
          </w:tcPr>
          <w:p w14:paraId="0D3B81A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滤材更换（3-6个月/次）、电机保养</w:t>
            </w:r>
          </w:p>
        </w:tc>
      </w:tr>
      <w:tr w14:paraId="5D4450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1AAA6E3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照明系统</w:t>
            </w:r>
          </w:p>
        </w:tc>
        <w:tc>
          <w:tcPr>
            <w:tcW w:w="2060" w:type="dxa"/>
          </w:tcPr>
          <w:p w14:paraId="7113FA6F">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灯光亮度、色温变化</w:t>
            </w:r>
          </w:p>
        </w:tc>
        <w:tc>
          <w:tcPr>
            <w:tcW w:w="2060" w:type="dxa"/>
          </w:tcPr>
          <w:p w14:paraId="1836AA5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灯具表面清洁（每周/次）、散热检查</w:t>
            </w:r>
          </w:p>
        </w:tc>
        <w:tc>
          <w:tcPr>
            <w:tcW w:w="2060" w:type="dxa"/>
          </w:tcPr>
          <w:p w14:paraId="04BDAC7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LED灯珠更换（1-2年/次）、驱动电路检测</w:t>
            </w:r>
          </w:p>
        </w:tc>
      </w:tr>
      <w:tr w14:paraId="2A3454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04B2E0B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CO₂系统</w:t>
            </w:r>
          </w:p>
        </w:tc>
        <w:tc>
          <w:tcPr>
            <w:tcW w:w="2060" w:type="dxa"/>
          </w:tcPr>
          <w:p w14:paraId="6247BF4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气泡流量、压力表读数</w:t>
            </w:r>
          </w:p>
        </w:tc>
        <w:tc>
          <w:tcPr>
            <w:tcW w:w="2060" w:type="dxa"/>
          </w:tcPr>
          <w:p w14:paraId="27BD70C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管道检查（每月/次）、扩散器清洁</w:t>
            </w:r>
          </w:p>
        </w:tc>
        <w:tc>
          <w:tcPr>
            <w:tcW w:w="2060" w:type="dxa"/>
          </w:tcPr>
          <w:p w14:paraId="0D07E2C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压缩机维护（6-12个月/次）、安全阀检测</w:t>
            </w:r>
          </w:p>
        </w:tc>
      </w:tr>
      <w:tr w14:paraId="6741C0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3D4E38B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温控系统</w:t>
            </w:r>
          </w:p>
        </w:tc>
        <w:tc>
          <w:tcPr>
            <w:tcW w:w="2060" w:type="dxa"/>
          </w:tcPr>
          <w:p w14:paraId="05CAC6D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温度显示、加热棒状态</w:t>
            </w:r>
          </w:p>
        </w:tc>
        <w:tc>
          <w:tcPr>
            <w:tcW w:w="2060" w:type="dxa"/>
          </w:tcPr>
          <w:p w14:paraId="0D177EF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加热棒表面清洁（每月/次）</w:t>
            </w:r>
          </w:p>
        </w:tc>
        <w:tc>
          <w:tcPr>
            <w:tcW w:w="2060" w:type="dxa"/>
          </w:tcPr>
          <w:p w14:paraId="389CEF0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传感器校准（每年/次）、电路检查</w:t>
            </w:r>
          </w:p>
        </w:tc>
      </w:tr>
    </w:tbl>
    <w:p w14:paraId="40104A39">
      <w:pPr>
        <w:pageBreakBefore w:val="0"/>
        <w:wordWrap/>
        <w:spacing w:before="160" w:after="0"/>
        <w:ind w:left="0" w:right="0"/>
        <w:jc w:val="left"/>
        <w:textAlignment w:val="auto"/>
        <w:rPr>
          <w:rFonts w:ascii="宋体" w:hAnsi="宋体" w:eastAsia="宋体" w:cs="宋体"/>
          <w:b/>
          <w:i w:val="0"/>
          <w:spacing w:val="0"/>
          <w:sz w:val="24"/>
        </w:rPr>
      </w:pPr>
    </w:p>
    <w:p w14:paraId="0A56AE2A">
      <w:pPr>
        <w:pageBreakBefore w:val="0"/>
        <w:wordWrap/>
        <w:spacing w:before="160" w:after="0"/>
        <w:ind w:left="0" w:right="0"/>
        <w:jc w:val="left"/>
        <w:textAlignment w:val="auto"/>
        <w:rPr>
          <w:sz w:val="24"/>
          <w:highlight w:val="yellow"/>
        </w:rPr>
      </w:pPr>
      <w:r>
        <w:rPr>
          <w:rFonts w:ascii="宋体" w:hAnsi="宋体" w:eastAsia="宋体" w:cs="宋体"/>
          <w:b/>
          <w:i w:val="0"/>
          <w:color w:val="000000" w:themeColor="text1"/>
          <w:spacing w:val="0"/>
          <w:sz w:val="24"/>
          <w:highlight w:val="yellow"/>
          <w14:textFill>
            <w14:solidFill>
              <w14:schemeClr w14:val="tx1"/>
            </w14:solidFill>
          </w14:textFill>
        </w:rPr>
        <w:t>过滤系统维护</w:t>
      </w:r>
      <w:r>
        <w:rPr>
          <w:rFonts w:ascii="宋体" w:hAnsi="宋体" w:eastAsia="宋体" w:cs="宋体"/>
          <w:b w:val="0"/>
          <w:i w:val="0"/>
          <w:spacing w:val="0"/>
          <w:sz w:val="24"/>
          <w:highlight w:val="yellow"/>
        </w:rPr>
        <w:t>：</w:t>
      </w:r>
    </w:p>
    <w:p w14:paraId="44B03753">
      <w:pPr>
        <w:pageBreakBefore w:val="0"/>
        <w:wordWrap/>
        <w:spacing w:before="160" w:after="0"/>
        <w:ind w:left="0" w:right="0"/>
        <w:jc w:val="left"/>
        <w:textAlignment w:val="auto"/>
        <w:rPr>
          <w:sz w:val="24"/>
        </w:rPr>
      </w:pPr>
      <w:r>
        <w:rPr>
          <w:rFonts w:ascii="宋体" w:hAnsi="宋体" w:eastAsia="宋体" w:cs="宋体"/>
          <w:b w:val="0"/>
          <w:i w:val="0"/>
          <w:spacing w:val="0"/>
          <w:sz w:val="24"/>
        </w:rPr>
        <w:t>过滤系统是水质稳定的核心，其维护需区分物理过滤、生物过滤和化学过滤三个层次：</w:t>
      </w:r>
    </w:p>
    <w:p w14:paraId="466E0D68">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物理过滤</w:t>
      </w:r>
      <w:r>
        <w:rPr>
          <w:rFonts w:ascii="宋体" w:hAnsi="宋体" w:eastAsia="宋体" w:cs="宋体"/>
          <w:b w:val="0"/>
          <w:i w:val="0"/>
          <w:spacing w:val="0"/>
          <w:sz w:val="24"/>
        </w:rPr>
        <w:t>：主要通过滤棉和过滤网拦截固体废物。</w:t>
      </w:r>
      <w:r>
        <w:rPr>
          <w:rFonts w:ascii="宋体" w:hAnsi="宋体" w:eastAsia="宋体" w:cs="宋体"/>
          <w:b/>
          <w:i w:val="0"/>
          <w:spacing w:val="0"/>
          <w:sz w:val="24"/>
        </w:rPr>
        <w:t>滤棉清洗</w:t>
      </w:r>
      <w:r>
        <w:rPr>
          <w:rFonts w:ascii="宋体" w:hAnsi="宋体" w:eastAsia="宋体" w:cs="宋体"/>
          <w:b w:val="0"/>
          <w:i w:val="0"/>
          <w:spacing w:val="0"/>
          <w:sz w:val="24"/>
        </w:rPr>
        <w:t>应使用原缸水（避免杀灭附着的有益细菌），轻轻揉搓，保留部分菌群。清洗周期为1-2周，过度清洗会导致硝化细菌流失，引发系统崩溃。</w:t>
      </w:r>
    </w:p>
    <w:p w14:paraId="39EFB957">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生物过滤</w:t>
      </w:r>
      <w:r>
        <w:rPr>
          <w:rFonts w:ascii="宋体" w:hAnsi="宋体" w:eastAsia="宋体" w:cs="宋体"/>
          <w:b w:val="0"/>
          <w:i w:val="0"/>
          <w:spacing w:val="0"/>
          <w:sz w:val="24"/>
        </w:rPr>
        <w:t>：依赖硝化细菌分解氨氮和亚硝酸盐。</w:t>
      </w:r>
      <w:r>
        <w:rPr>
          <w:rFonts w:ascii="宋体" w:hAnsi="宋体" w:eastAsia="宋体" w:cs="宋体"/>
          <w:b/>
          <w:i w:val="0"/>
          <w:spacing w:val="0"/>
          <w:sz w:val="24"/>
        </w:rPr>
        <w:t>生物滤材</w:t>
      </w:r>
      <w:r>
        <w:rPr>
          <w:rFonts w:ascii="宋体" w:hAnsi="宋体" w:eastAsia="宋体" w:cs="宋体"/>
          <w:b w:val="0"/>
          <w:i w:val="0"/>
          <w:spacing w:val="0"/>
          <w:sz w:val="24"/>
        </w:rPr>
        <w:t>（如陶瓷环、生化棉）不应频繁清洗，仅在明显堵塞时用原缸水轻柔冲洗，保留生物膜。</w:t>
      </w:r>
    </w:p>
    <w:p w14:paraId="5FDED53A">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化学过滤</w:t>
      </w:r>
      <w:r>
        <w:rPr>
          <w:rFonts w:ascii="宋体" w:hAnsi="宋体" w:eastAsia="宋体" w:cs="宋体"/>
          <w:b w:val="0"/>
          <w:i w:val="0"/>
          <w:spacing w:val="0"/>
          <w:sz w:val="24"/>
        </w:rPr>
        <w:t>：包括活性炭、离子交换树脂等，用于吸附有机物和调节水质。活性炭应每1个月更换一次，其吸附容量有限，失效后会释放已吸附的毒素。</w:t>
      </w:r>
    </w:p>
    <w:p w14:paraId="231A92E8">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案例警示</w:t>
      </w:r>
      <w:r>
        <w:rPr>
          <w:rFonts w:ascii="宋体" w:hAnsi="宋体" w:eastAsia="宋体" w:cs="宋体"/>
          <w:b w:val="0"/>
          <w:i w:val="0"/>
          <w:spacing w:val="0"/>
          <w:sz w:val="24"/>
        </w:rPr>
        <w:t>：2024年3月，一位爱好者因每周用自来水冲洗生物滤材导致硝化系统崩溃，氨氮浓度24小时内从0.01mg/L飙升至0.2mg/L，最终导致缸内生物死亡。此案例印证了**"生物滤材清洗频率过高"**是维护管理中的常见误区。</w:t>
      </w:r>
    </w:p>
    <w:p w14:paraId="5FB974B4">
      <w:pPr>
        <w:pageBreakBefore w:val="0"/>
        <w:wordWrap/>
        <w:spacing w:before="160" w:after="0"/>
        <w:ind w:left="0" w:right="0"/>
        <w:jc w:val="left"/>
        <w:textAlignment w:val="auto"/>
        <w:rPr>
          <w:rFonts w:ascii="宋体" w:hAnsi="宋体" w:eastAsia="宋体" w:cs="宋体"/>
          <w:b/>
          <w:i w:val="0"/>
          <w:spacing w:val="0"/>
          <w:sz w:val="24"/>
        </w:rPr>
      </w:pPr>
    </w:p>
    <w:p w14:paraId="74FF717E">
      <w:pPr>
        <w:pageBreakBefore w:val="0"/>
        <w:wordWrap/>
        <w:spacing w:before="160" w:after="0"/>
        <w:ind w:left="0" w:right="0"/>
        <w:jc w:val="left"/>
        <w:textAlignment w:val="auto"/>
        <w:rPr>
          <w:sz w:val="24"/>
        </w:rPr>
      </w:pPr>
      <w:r>
        <w:rPr>
          <w:rFonts w:ascii="宋体" w:hAnsi="宋体" w:eastAsia="宋体" w:cs="宋体"/>
          <w:b/>
          <w:i w:val="0"/>
          <w:spacing w:val="0"/>
          <w:sz w:val="24"/>
        </w:rPr>
        <w:t>5.1.3 植物修剪与补种</w:t>
      </w:r>
    </w:p>
    <w:p w14:paraId="7C83D9B6">
      <w:pPr>
        <w:pageBreakBefore w:val="0"/>
        <w:wordWrap/>
        <w:spacing w:before="160" w:after="0"/>
        <w:ind w:left="0" w:right="0"/>
        <w:jc w:val="left"/>
        <w:textAlignment w:val="auto"/>
        <w:rPr>
          <w:sz w:val="24"/>
        </w:rPr>
      </w:pPr>
      <w:r>
        <w:rPr>
          <w:rFonts w:ascii="宋体" w:hAnsi="宋体" w:eastAsia="宋体" w:cs="宋体"/>
          <w:b w:val="0"/>
          <w:i w:val="0"/>
          <w:spacing w:val="0"/>
          <w:sz w:val="24"/>
        </w:rPr>
        <w:t>水草是造景的核心元素，其修剪与补种直接影响景观效果与生态平衡。</w:t>
      </w:r>
    </w:p>
    <w:p w14:paraId="1F69B120">
      <w:pPr>
        <w:pageBreakBefore w:val="0"/>
        <w:wordWrap/>
        <w:spacing w:before="160" w:after="0"/>
        <w:ind w:left="0" w:right="0"/>
        <w:jc w:val="left"/>
        <w:textAlignment w:val="auto"/>
        <w:rPr>
          <w:sz w:val="24"/>
        </w:rPr>
      </w:pPr>
      <w:r>
        <w:rPr>
          <w:rFonts w:ascii="宋体" w:hAnsi="宋体" w:eastAsia="宋体" w:cs="宋体"/>
          <w:b/>
          <w:i w:val="0"/>
          <w:spacing w:val="0"/>
          <w:sz w:val="24"/>
        </w:rPr>
        <w:t>不同位置水草修剪要点</w:t>
      </w:r>
      <w:r>
        <w:rPr>
          <w:rFonts w:ascii="宋体" w:hAnsi="宋体" w:eastAsia="宋体" w:cs="宋体"/>
          <w:b w:val="0"/>
          <w:i w:val="0"/>
          <w:spacing w:val="0"/>
          <w:sz w:val="24"/>
        </w:rPr>
        <w:t>：</w:t>
      </w:r>
    </w:p>
    <w:p w14:paraId="4D6D3D4D">
      <w:pPr>
        <w:pageBreakBefore w:val="0"/>
        <w:numPr>
          <w:numId w:val="0"/>
        </w:numPr>
        <w:wordWrap/>
        <w:spacing w:before="160" w:after="0"/>
        <w:ind w:leftChars="0" w:right="0" w:rightChars="0"/>
        <w:jc w:val="left"/>
        <w:textAlignment w:val="auto"/>
        <w:rPr>
          <w:sz w:val="24"/>
        </w:rPr>
      </w:pPr>
      <w:r>
        <w:rPr>
          <w:rFonts w:hint="eastAsia" w:ascii="宋体" w:hAnsi="宋体" w:eastAsia="宋体" w:cs="宋体"/>
          <w:b/>
          <w:i w:val="0"/>
          <w:spacing w:val="0"/>
          <w:sz w:val="24"/>
          <w:lang w:val="en-US" w:eastAsia="zh-CN"/>
        </w:rPr>
        <w:t xml:space="preserve">① </w:t>
      </w:r>
      <w:r>
        <w:rPr>
          <w:rFonts w:ascii="宋体" w:hAnsi="宋体" w:eastAsia="宋体" w:cs="宋体"/>
          <w:b/>
          <w:i w:val="0"/>
          <w:spacing w:val="0"/>
          <w:sz w:val="24"/>
        </w:rPr>
        <w:t>前景水草</w:t>
      </w:r>
      <w:r>
        <w:rPr>
          <w:rFonts w:ascii="宋体" w:hAnsi="宋体" w:eastAsia="宋体" w:cs="宋体"/>
          <w:b w:val="0"/>
          <w:i w:val="0"/>
          <w:spacing w:val="0"/>
          <w:sz w:val="24"/>
        </w:rPr>
        <w:t>（如莫斯、鹿角苔）：</w:t>
      </w:r>
    </w:p>
    <w:p w14:paraId="6C34A88F">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修剪频率：每2-3天检查，每1-2周修剪一次</w:t>
      </w:r>
    </w:p>
    <w:p w14:paraId="3DCDE884">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修剪方法：莫斯可采用"打薄法"，剪去顶部过密部分；鹿角苔采用"边缘修剪法"，保持自然形态</w:t>
      </w:r>
    </w:p>
    <w:p w14:paraId="187CE61B">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修剪工具：专用细齿修剪钳或不锈钢弯头镊子</w:t>
      </w:r>
    </w:p>
    <w:p w14:paraId="4E9DE066">
      <w:pPr>
        <w:pageBreakBefore w:val="0"/>
        <w:numPr>
          <w:numId w:val="0"/>
        </w:numPr>
        <w:wordWrap/>
        <w:spacing w:before="160" w:after="0"/>
        <w:ind w:leftChars="0" w:right="0" w:rightChars="0"/>
        <w:jc w:val="left"/>
        <w:textAlignment w:val="auto"/>
        <w:rPr>
          <w:sz w:val="24"/>
        </w:rPr>
      </w:pPr>
      <w:r>
        <w:rPr>
          <w:rFonts w:hint="eastAsia" w:ascii="宋体" w:hAnsi="宋体" w:eastAsia="宋体" w:cs="宋体"/>
          <w:b/>
          <w:i w:val="0"/>
          <w:spacing w:val="0"/>
          <w:sz w:val="24"/>
          <w:lang w:val="en-US" w:eastAsia="zh-CN"/>
        </w:rPr>
        <w:t xml:space="preserve">② </w:t>
      </w:r>
      <w:r>
        <w:rPr>
          <w:rFonts w:ascii="宋体" w:hAnsi="宋体" w:eastAsia="宋体" w:cs="宋体"/>
          <w:b/>
          <w:i w:val="0"/>
          <w:spacing w:val="0"/>
          <w:sz w:val="24"/>
        </w:rPr>
        <w:t>中景水草</w:t>
      </w:r>
      <w:r>
        <w:rPr>
          <w:rFonts w:ascii="宋体" w:hAnsi="宋体" w:eastAsia="宋体" w:cs="宋体"/>
          <w:b w:val="0"/>
          <w:i w:val="0"/>
          <w:spacing w:val="0"/>
          <w:sz w:val="24"/>
        </w:rPr>
        <w:t>（如迷你矮珍珠、小水兰）：</w:t>
      </w:r>
    </w:p>
    <w:p w14:paraId="1CDF246F">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修剪频率：每3-5天检查，每2-3周修剪一次</w:t>
      </w:r>
    </w:p>
    <w:p w14:paraId="23373A6B">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修剪方法：</w:t>
      </w:r>
      <w:r>
        <w:rPr>
          <w:rFonts w:ascii="宋体" w:hAnsi="宋体" w:eastAsia="宋体" w:cs="宋体"/>
          <w:b/>
          <w:i w:val="0"/>
          <w:spacing w:val="0"/>
          <w:sz w:val="24"/>
        </w:rPr>
        <w:t>打顶法</w:t>
      </w:r>
      <w:r>
        <w:rPr>
          <w:rFonts w:ascii="宋体" w:hAnsi="宋体" w:eastAsia="宋体" w:cs="宋体"/>
          <w:b w:val="0"/>
          <w:i w:val="0"/>
          <w:spacing w:val="0"/>
          <w:sz w:val="24"/>
        </w:rPr>
        <w:t>促进横向生长，保持中景层次感；侧芽修剪法维持主干形态</w:t>
      </w:r>
    </w:p>
    <w:p w14:paraId="1DAAFF37">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修剪工具：水草剪或修枝剪</w:t>
      </w:r>
    </w:p>
    <w:p w14:paraId="6D010467">
      <w:pPr>
        <w:pageBreakBefore w:val="0"/>
        <w:numPr>
          <w:numId w:val="0"/>
        </w:numPr>
        <w:wordWrap/>
        <w:spacing w:before="160" w:after="0"/>
        <w:ind w:leftChars="0" w:right="0" w:rightChars="0"/>
        <w:jc w:val="left"/>
        <w:textAlignment w:val="auto"/>
        <w:rPr>
          <w:sz w:val="24"/>
        </w:rPr>
      </w:pPr>
      <w:r>
        <w:rPr>
          <w:rFonts w:hint="eastAsia" w:ascii="宋体" w:hAnsi="宋体" w:eastAsia="宋体" w:cs="宋体"/>
          <w:b/>
          <w:i w:val="0"/>
          <w:spacing w:val="0"/>
          <w:sz w:val="24"/>
          <w:lang w:val="en-US" w:eastAsia="zh-CN"/>
        </w:rPr>
        <w:t xml:space="preserve">③ </w:t>
      </w:r>
      <w:r>
        <w:rPr>
          <w:rFonts w:ascii="宋体" w:hAnsi="宋体" w:eastAsia="宋体" w:cs="宋体"/>
          <w:b/>
          <w:i w:val="0"/>
          <w:spacing w:val="0"/>
          <w:sz w:val="24"/>
        </w:rPr>
        <w:t>后景水草</w:t>
      </w:r>
      <w:r>
        <w:rPr>
          <w:rFonts w:ascii="宋体" w:hAnsi="宋体" w:eastAsia="宋体" w:cs="宋体"/>
          <w:b w:val="0"/>
          <w:i w:val="0"/>
          <w:spacing w:val="0"/>
          <w:sz w:val="24"/>
        </w:rPr>
        <w:t>（如蜈蚣草、水榕）：</w:t>
      </w:r>
    </w:p>
    <w:p w14:paraId="3FFF51A7">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修剪频率：每5-7天检查，每3-4周修剪一次</w:t>
      </w:r>
    </w:p>
    <w:p w14:paraId="09F0E7FD">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修剪方法：</w:t>
      </w:r>
      <w:r>
        <w:rPr>
          <w:rFonts w:ascii="宋体" w:hAnsi="宋体" w:eastAsia="宋体" w:cs="宋体"/>
          <w:b/>
          <w:i w:val="0"/>
          <w:spacing w:val="0"/>
          <w:sz w:val="24"/>
        </w:rPr>
        <w:t>控制高度法</w:t>
      </w:r>
      <w:r>
        <w:rPr>
          <w:rFonts w:ascii="宋体" w:hAnsi="宋体" w:eastAsia="宋体" w:cs="宋体"/>
          <w:b w:val="0"/>
          <w:i w:val="0"/>
          <w:spacing w:val="0"/>
          <w:sz w:val="24"/>
        </w:rPr>
        <w:t>，保持后景与前景的视觉比例；老叶清理法维持整体美观</w:t>
      </w:r>
    </w:p>
    <w:p w14:paraId="107503E5">
      <w:pPr>
        <w:pageBreakBefore w:val="0"/>
        <w:numPr>
          <w:numId w:val="0"/>
        </w:numPr>
        <w:wordWrap/>
        <w:spacing w:before="160" w:after="0" w:line="360" w:lineRule="auto"/>
        <w:ind w:left="440" w:leftChars="0" w:right="0" w:rightChars="0"/>
        <w:jc w:val="left"/>
        <w:textAlignment w:val="auto"/>
        <w:rPr>
          <w:sz w:val="24"/>
        </w:rPr>
      </w:pPr>
      <w:r>
        <w:rPr>
          <w:rFonts w:ascii="宋体" w:hAnsi="宋体" w:eastAsia="宋体" w:cs="宋体"/>
          <w:b w:val="0"/>
          <w:i w:val="0"/>
          <w:spacing w:val="0"/>
          <w:sz w:val="24"/>
        </w:rPr>
        <w:t>修剪工具：大号水草剪或园艺剪</w:t>
      </w:r>
    </w:p>
    <w:p w14:paraId="628A6986">
      <w:pPr>
        <w:pageBreakBefore w:val="0"/>
        <w:wordWrap/>
        <w:spacing w:before="160" w:after="0"/>
        <w:ind w:left="0" w:right="0"/>
        <w:jc w:val="left"/>
        <w:textAlignment w:val="auto"/>
        <w:rPr>
          <w:sz w:val="24"/>
        </w:rPr>
      </w:pPr>
      <w:r>
        <w:rPr>
          <w:rFonts w:ascii="宋体" w:hAnsi="宋体" w:eastAsia="宋体" w:cs="宋体"/>
          <w:b/>
          <w:i w:val="0"/>
          <w:spacing w:val="0"/>
          <w:sz w:val="24"/>
        </w:rPr>
        <w:t>水草补种策略</w:t>
      </w:r>
      <w:r>
        <w:rPr>
          <w:rFonts w:ascii="宋体" w:hAnsi="宋体" w:eastAsia="宋体" w:cs="宋体"/>
          <w:b w:val="0"/>
          <w:i w:val="0"/>
          <w:spacing w:val="0"/>
          <w:sz w:val="24"/>
        </w:rPr>
        <w:t>：</w:t>
      </w:r>
    </w:p>
    <w:p w14:paraId="0ABC604D">
      <w:pPr>
        <w:pageBreakBefore w:val="0"/>
        <w:wordWrap/>
        <w:spacing w:before="160" w:after="0"/>
        <w:ind w:left="0" w:right="0"/>
        <w:jc w:val="left"/>
        <w:textAlignment w:val="auto"/>
        <w:rPr>
          <w:sz w:val="24"/>
        </w:rPr>
      </w:pPr>
      <w:r>
        <w:rPr>
          <w:rFonts w:ascii="宋体" w:hAnsi="宋体" w:eastAsia="宋体" w:cs="宋体"/>
          <w:b w:val="0"/>
          <w:i w:val="0"/>
          <w:spacing w:val="0"/>
          <w:sz w:val="24"/>
        </w:rPr>
        <w:t>水草补种需考虑以下因素：</w:t>
      </w:r>
    </w:p>
    <w:p w14:paraId="3730C13F">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生长周期</w:t>
      </w:r>
      <w:r>
        <w:rPr>
          <w:rFonts w:ascii="宋体" w:hAnsi="宋体" w:eastAsia="宋体" w:cs="宋体"/>
          <w:b w:val="0"/>
          <w:i w:val="0"/>
          <w:spacing w:val="0"/>
          <w:sz w:val="24"/>
        </w:rPr>
        <w:t>：不同水草生长速度差异显著，如绿菊（快速生长）与铁皇冠（缓慢生长）需采用不同补种频率</w:t>
      </w:r>
    </w:p>
    <w:p w14:paraId="53F9EBA4">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造景风格</w:t>
      </w:r>
      <w:r>
        <w:rPr>
          <w:rFonts w:ascii="宋体" w:hAnsi="宋体" w:eastAsia="宋体" w:cs="宋体"/>
          <w:b w:val="0"/>
          <w:i w:val="0"/>
          <w:spacing w:val="0"/>
          <w:sz w:val="24"/>
        </w:rPr>
        <w:t>：自然风格以"自然生长"为主，补种频率低；荷兰式要求严格对称，补种频率高</w:t>
      </w:r>
    </w:p>
    <w:p w14:paraId="48DCB05A">
      <w:pPr>
        <w:pageBreakBefore w:val="0"/>
        <w:numPr>
          <w:ilvl w:val="0"/>
          <w:numId w:val="9"/>
        </w:numPr>
        <w:wordWrap/>
        <w:spacing w:before="160" w:after="0"/>
        <w:ind w:left="440" w:right="0" w:hanging="440"/>
        <w:jc w:val="left"/>
        <w:textAlignment w:val="auto"/>
        <w:rPr>
          <w:sz w:val="24"/>
        </w:rPr>
      </w:pPr>
      <w:r>
        <w:rPr>
          <w:rFonts w:ascii="宋体" w:hAnsi="宋体" w:eastAsia="宋体" w:cs="宋体"/>
          <w:b/>
          <w:i w:val="0"/>
          <w:spacing w:val="0"/>
          <w:sz w:val="24"/>
        </w:rPr>
        <w:t>补种方法</w:t>
      </w:r>
      <w:r>
        <w:rPr>
          <w:rFonts w:ascii="宋体" w:hAnsi="宋体" w:eastAsia="宋体" w:cs="宋体"/>
          <w:b w:val="0"/>
          <w:i w:val="0"/>
          <w:spacing w:val="0"/>
          <w:sz w:val="24"/>
        </w:rPr>
        <w:t>：直接补种法（适合根系发达水草）、分株补种法（适合丛生型水草）、移栽补种法（适合高大乔木型水草）</w:t>
      </w:r>
    </w:p>
    <w:p w14:paraId="67FF9109">
      <w:pPr>
        <w:pageBreakBefore w:val="0"/>
        <w:wordWrap/>
        <w:spacing w:before="160" w:after="0"/>
        <w:ind w:left="0" w:right="0"/>
        <w:jc w:val="left"/>
        <w:textAlignment w:val="auto"/>
        <w:rPr>
          <w:rFonts w:ascii="宋体" w:hAnsi="宋体" w:eastAsia="宋体" w:cs="宋体"/>
          <w:b/>
          <w:i w:val="0"/>
          <w:spacing w:val="0"/>
          <w:sz w:val="24"/>
        </w:rPr>
      </w:pPr>
    </w:p>
    <w:p w14:paraId="76C98261">
      <w:pPr>
        <w:pageBreakBefore w:val="0"/>
        <w:wordWrap/>
        <w:spacing w:before="160" w:after="0"/>
        <w:ind w:left="0" w:right="0"/>
        <w:jc w:val="left"/>
        <w:textAlignment w:val="auto"/>
        <w:rPr>
          <w:sz w:val="24"/>
        </w:rPr>
      </w:pPr>
      <w:r>
        <w:rPr>
          <w:rFonts w:ascii="宋体" w:hAnsi="宋体" w:eastAsia="宋体" w:cs="宋体"/>
          <w:b/>
          <w:i w:val="0"/>
          <w:spacing w:val="0"/>
          <w:sz w:val="24"/>
        </w:rPr>
        <w:t>5.1.4 鱼类健康管理</w:t>
      </w:r>
    </w:p>
    <w:p w14:paraId="3EE8CEBA">
      <w:pPr>
        <w:pageBreakBefore w:val="0"/>
        <w:wordWrap/>
        <w:spacing w:before="160" w:after="0"/>
        <w:ind w:left="0" w:right="0"/>
        <w:jc w:val="left"/>
        <w:textAlignment w:val="auto"/>
        <w:rPr>
          <w:sz w:val="24"/>
        </w:rPr>
      </w:pPr>
      <w:r>
        <w:rPr>
          <w:rFonts w:ascii="宋体" w:hAnsi="宋体" w:eastAsia="宋体" w:cs="宋体"/>
          <w:b w:val="0"/>
          <w:i w:val="0"/>
          <w:spacing w:val="0"/>
          <w:sz w:val="24"/>
        </w:rPr>
        <w:t>生物健康是造景生态系统稳定的基础，需建立科学的鱼类健康管理机制。</w:t>
      </w:r>
    </w:p>
    <w:p w14:paraId="29F047C2">
      <w:pPr>
        <w:pageBreakBefore w:val="0"/>
        <w:wordWrap/>
        <w:spacing w:before="160" w:after="0"/>
        <w:ind w:left="0" w:right="0"/>
        <w:jc w:val="left"/>
        <w:textAlignment w:val="auto"/>
        <w:rPr>
          <w:sz w:val="24"/>
        </w:rPr>
      </w:pPr>
      <w:r>
        <w:rPr>
          <w:rFonts w:ascii="宋体" w:hAnsi="宋体" w:eastAsia="宋体" w:cs="宋体"/>
          <w:b/>
          <w:i w:val="0"/>
          <w:spacing w:val="0"/>
          <w:sz w:val="24"/>
        </w:rPr>
        <w:t>健康监测指标</w:t>
      </w:r>
      <w:r>
        <w:rPr>
          <w:rFonts w:ascii="宋体" w:hAnsi="宋体" w:eastAsia="宋体" w:cs="宋体"/>
          <w:b w:val="0"/>
          <w:i w:val="0"/>
          <w:spacing w:val="0"/>
          <w:sz w:val="24"/>
        </w:rPr>
        <w:t>：</w:t>
      </w:r>
    </w:p>
    <w:p w14:paraId="67300348">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行为观察</w:t>
      </w:r>
      <w:r>
        <w:rPr>
          <w:rFonts w:ascii="宋体" w:hAnsi="宋体" w:eastAsia="宋体" w:cs="宋体"/>
          <w:b w:val="0"/>
          <w:i w:val="0"/>
          <w:spacing w:val="0"/>
          <w:sz w:val="24"/>
        </w:rPr>
        <w:t>：活力、摄食、排泄、呼吸频率</w:t>
      </w:r>
    </w:p>
    <w:p w14:paraId="6628F215">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体表检查</w:t>
      </w:r>
      <w:r>
        <w:rPr>
          <w:rFonts w:ascii="宋体" w:hAnsi="宋体" w:eastAsia="宋体" w:cs="宋体"/>
          <w:b w:val="0"/>
          <w:i w:val="0"/>
          <w:spacing w:val="0"/>
          <w:sz w:val="24"/>
        </w:rPr>
        <w:t>：是否出现白点、溃烂、寄生虫</w:t>
      </w:r>
    </w:p>
    <w:p w14:paraId="02B09FFA">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水质关联</w:t>
      </w:r>
      <w:r>
        <w:rPr>
          <w:rFonts w:ascii="宋体" w:hAnsi="宋体" w:eastAsia="宋体" w:cs="宋体"/>
          <w:b w:val="0"/>
          <w:i w:val="0"/>
          <w:spacing w:val="0"/>
          <w:sz w:val="24"/>
        </w:rPr>
        <w:t>：将生物异常与水质参数波动相关联，分析根本原因</w:t>
      </w:r>
    </w:p>
    <w:p w14:paraId="5EDAE155">
      <w:pPr>
        <w:pageBreakBefore w:val="0"/>
        <w:wordWrap/>
        <w:spacing w:before="160" w:after="0"/>
        <w:ind w:left="0" w:right="0"/>
        <w:jc w:val="left"/>
        <w:textAlignment w:val="auto"/>
        <w:rPr>
          <w:sz w:val="24"/>
        </w:rPr>
      </w:pPr>
      <w:r>
        <w:rPr>
          <w:rFonts w:ascii="宋体" w:hAnsi="宋体" w:eastAsia="宋体" w:cs="宋体"/>
          <w:b/>
          <w:i w:val="0"/>
          <w:spacing w:val="0"/>
          <w:sz w:val="24"/>
        </w:rPr>
        <w:t>常见鱼类疾病与处理</w:t>
      </w:r>
      <w:r>
        <w:rPr>
          <w:rFonts w:ascii="宋体" w:hAnsi="宋体" w:eastAsia="宋体" w:cs="宋体"/>
          <w:b w:val="0"/>
          <w:i w:val="0"/>
          <w:spacing w:val="0"/>
          <w:sz w:val="24"/>
        </w:rPr>
        <w:t>：</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60"/>
        <w:gridCol w:w="2060"/>
        <w:gridCol w:w="2060"/>
        <w:gridCol w:w="2060"/>
      </w:tblGrid>
      <w:tr w14:paraId="489CC7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shd w:val="clear" w:color="auto" w:fill="EEEEEE"/>
          </w:tcPr>
          <w:p w14:paraId="5FF378B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疾病类型</w:t>
            </w:r>
          </w:p>
        </w:tc>
        <w:tc>
          <w:tcPr>
            <w:tcW w:w="2060" w:type="dxa"/>
            <w:shd w:val="clear" w:color="auto" w:fill="EEEEEE"/>
          </w:tcPr>
          <w:p w14:paraId="492E663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症状表现</w:t>
            </w:r>
          </w:p>
        </w:tc>
        <w:tc>
          <w:tcPr>
            <w:tcW w:w="2060" w:type="dxa"/>
            <w:shd w:val="clear" w:color="auto" w:fill="EEEEEE"/>
          </w:tcPr>
          <w:p w14:paraId="5247745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预防措施</w:t>
            </w:r>
          </w:p>
        </w:tc>
        <w:tc>
          <w:tcPr>
            <w:tcW w:w="2060" w:type="dxa"/>
            <w:shd w:val="clear" w:color="auto" w:fill="EEEEEE"/>
          </w:tcPr>
          <w:p w14:paraId="5D6289B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治疗方法</w:t>
            </w:r>
          </w:p>
        </w:tc>
      </w:tr>
      <w:tr w14:paraId="059C28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3302770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白点病</w:t>
            </w:r>
          </w:p>
        </w:tc>
        <w:tc>
          <w:tcPr>
            <w:tcW w:w="2060" w:type="dxa"/>
          </w:tcPr>
          <w:p w14:paraId="5EA6E34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体表出现白点、浮头、摩擦缸壁</w:t>
            </w:r>
          </w:p>
        </w:tc>
        <w:tc>
          <w:tcPr>
            <w:tcW w:w="2060" w:type="dxa"/>
          </w:tcPr>
          <w:p w14:paraId="1F198A5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维持稳定水温，控制换水频率</w:t>
            </w:r>
          </w:p>
        </w:tc>
        <w:tc>
          <w:tcPr>
            <w:tcW w:w="2060" w:type="dxa"/>
          </w:tcPr>
          <w:p w14:paraId="47CCE50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升温至28℃，添加60g/L盐，隔离治疗</w:t>
            </w:r>
          </w:p>
        </w:tc>
      </w:tr>
      <w:tr w14:paraId="39FA18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75872F0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烂尾病</w:t>
            </w:r>
          </w:p>
        </w:tc>
        <w:tc>
          <w:tcPr>
            <w:tcW w:w="2060" w:type="dxa"/>
          </w:tcPr>
          <w:p w14:paraId="17E90AF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尾鳍溃烂、发黑、变形</w:t>
            </w:r>
          </w:p>
        </w:tc>
        <w:tc>
          <w:tcPr>
            <w:tcW w:w="2060" w:type="dxa"/>
          </w:tcPr>
          <w:p w14:paraId="6C89D25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控制氨氮和亚硝酸盐浓度</w:t>
            </w:r>
          </w:p>
        </w:tc>
        <w:tc>
          <w:tcPr>
            <w:tcW w:w="2060" w:type="dxa"/>
          </w:tcPr>
          <w:p w14:paraId="2EF56FF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使用甲硝唑药浴，改善水质</w:t>
            </w:r>
          </w:p>
        </w:tc>
      </w:tr>
      <w:tr w14:paraId="742D64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6AACD3A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鳃病</w:t>
            </w:r>
          </w:p>
        </w:tc>
        <w:tc>
          <w:tcPr>
            <w:tcW w:w="2060" w:type="dxa"/>
          </w:tcPr>
          <w:p w14:paraId="719931F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鳃部充血、肿胀、呼吸急促</w:t>
            </w:r>
          </w:p>
        </w:tc>
        <w:tc>
          <w:tcPr>
            <w:tcW w:w="2060" w:type="dxa"/>
          </w:tcPr>
          <w:p w14:paraId="59B582F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控制硝酸盐浓度，增加溶氧量</w:t>
            </w:r>
          </w:p>
        </w:tc>
        <w:tc>
          <w:tcPr>
            <w:tcW w:w="2060" w:type="dxa"/>
          </w:tcPr>
          <w:p w14:paraId="0544212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使用黄粉药浴，加强增氧</w:t>
            </w:r>
          </w:p>
        </w:tc>
      </w:tr>
      <w:tr w14:paraId="1B10C3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051A379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寄生虫病</w:t>
            </w:r>
          </w:p>
        </w:tc>
        <w:tc>
          <w:tcPr>
            <w:tcW w:w="2060" w:type="dxa"/>
          </w:tcPr>
          <w:p w14:paraId="6559B4B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体表或鳃部出现寄生虫、活力下降</w:t>
            </w:r>
          </w:p>
        </w:tc>
        <w:tc>
          <w:tcPr>
            <w:tcW w:w="2060" w:type="dxa"/>
          </w:tcPr>
          <w:p w14:paraId="22A02F2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新生物入缸前隔离观察</w:t>
            </w:r>
          </w:p>
        </w:tc>
        <w:tc>
          <w:tcPr>
            <w:tcW w:w="2060" w:type="dxa"/>
          </w:tcPr>
          <w:p w14:paraId="0BAC7D7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使用专用驱虫药，改善水质</w:t>
            </w:r>
          </w:p>
        </w:tc>
      </w:tr>
    </w:tbl>
    <w:p w14:paraId="465E7318">
      <w:pPr>
        <w:pageBreakBefore w:val="0"/>
        <w:wordWrap/>
        <w:spacing w:before="160" w:after="0"/>
        <w:ind w:left="0" w:right="0"/>
        <w:jc w:val="left"/>
        <w:textAlignment w:val="auto"/>
        <w:rPr>
          <w:rFonts w:ascii="宋体" w:hAnsi="宋体" w:eastAsia="宋体" w:cs="宋体"/>
          <w:b/>
          <w:i w:val="0"/>
          <w:spacing w:val="0"/>
          <w:sz w:val="24"/>
        </w:rPr>
      </w:pPr>
    </w:p>
    <w:p w14:paraId="2B0D3F39">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案例警示</w:t>
      </w:r>
      <w:r>
        <w:rPr>
          <w:rFonts w:ascii="宋体" w:hAnsi="宋体" w:eastAsia="宋体" w:cs="宋体"/>
          <w:b w:val="0"/>
          <w:i w:val="0"/>
          <w:spacing w:val="0"/>
          <w:sz w:val="24"/>
        </w:rPr>
        <w:t>：2025年2月，一位爱好者因未对新购入的灯科鱼进行隔离观察，直接放入已有稳定生态的缸中，导致白点病爆发，最终缸内生物全部死亡。此案例强调了**"生物引入隔离期"**的重要性——通常建议新生物在隔离缸中观察7-14天，确认健康后再引入主缸。</w:t>
      </w:r>
    </w:p>
    <w:p w14:paraId="65163366">
      <w:pPr>
        <w:pageBreakBefore w:val="0"/>
        <w:wordWrap/>
        <w:spacing w:before="160" w:after="0"/>
        <w:ind w:left="0" w:right="0"/>
        <w:jc w:val="left"/>
        <w:textAlignment w:val="auto"/>
        <w:rPr>
          <w:rFonts w:ascii="宋体" w:hAnsi="宋体" w:eastAsia="宋体" w:cs="宋体"/>
          <w:b/>
          <w:i w:val="0"/>
          <w:spacing w:val="0"/>
          <w:sz w:val="28"/>
        </w:rPr>
      </w:pPr>
    </w:p>
    <w:p w14:paraId="702B7AD1">
      <w:pPr>
        <w:pageBreakBefore w:val="0"/>
        <w:wordWrap/>
        <w:spacing w:before="160" w:after="0"/>
        <w:ind w:left="0" w:right="0"/>
        <w:jc w:val="left"/>
        <w:textAlignment w:val="auto"/>
        <w:rPr>
          <w:sz w:val="28"/>
        </w:rPr>
      </w:pPr>
      <w:r>
        <w:rPr>
          <w:rFonts w:ascii="宋体" w:hAnsi="宋体" w:eastAsia="宋体" w:cs="宋体"/>
          <w:b/>
          <w:i w:val="0"/>
          <w:spacing w:val="0"/>
          <w:sz w:val="28"/>
        </w:rPr>
        <w:t>5.2 长期管理策略</w:t>
      </w:r>
    </w:p>
    <w:p w14:paraId="399BFAD9">
      <w:pPr>
        <w:pageBreakBefore w:val="0"/>
        <w:wordWrap/>
        <w:spacing w:before="160" w:after="0"/>
        <w:ind w:left="0" w:right="0"/>
        <w:jc w:val="left"/>
        <w:textAlignment w:val="auto"/>
        <w:rPr>
          <w:sz w:val="24"/>
        </w:rPr>
      </w:pPr>
      <w:r>
        <w:rPr>
          <w:rFonts w:ascii="宋体" w:hAnsi="宋体" w:eastAsia="宋体" w:cs="宋体"/>
          <w:b w:val="0"/>
          <w:i w:val="0"/>
          <w:spacing w:val="0"/>
          <w:sz w:val="24"/>
        </w:rPr>
        <w:t>长期管理策略是确保水族造景持久稳定的关键，需从系统稳定性、季节性调整和问题预防三个维度构建完整的管理框架。</w:t>
      </w:r>
    </w:p>
    <w:p w14:paraId="2EAA86EF">
      <w:pPr>
        <w:pageBreakBefore w:val="0"/>
        <w:wordWrap/>
        <w:spacing w:before="160" w:after="0"/>
        <w:ind w:left="0" w:right="0"/>
        <w:jc w:val="left"/>
        <w:textAlignment w:val="auto"/>
        <w:rPr>
          <w:sz w:val="24"/>
        </w:rPr>
      </w:pPr>
      <w:r>
        <w:rPr>
          <w:rFonts w:ascii="宋体" w:hAnsi="宋体" w:eastAsia="宋体" w:cs="宋体"/>
          <w:b/>
          <w:i w:val="0"/>
          <w:spacing w:val="0"/>
          <w:sz w:val="24"/>
        </w:rPr>
        <w:t>5.2.1 生态系统稳定性维护</w:t>
      </w:r>
    </w:p>
    <w:p w14:paraId="273E1E9A">
      <w:pPr>
        <w:pageBreakBefore w:val="0"/>
        <w:wordWrap/>
        <w:spacing w:before="160" w:after="0"/>
        <w:ind w:left="0" w:right="0"/>
        <w:jc w:val="left"/>
        <w:textAlignment w:val="auto"/>
        <w:rPr>
          <w:sz w:val="24"/>
        </w:rPr>
      </w:pPr>
      <w:r>
        <w:rPr>
          <w:rFonts w:ascii="宋体" w:hAnsi="宋体" w:eastAsia="宋体" w:cs="宋体"/>
          <w:b w:val="0"/>
          <w:i w:val="0"/>
          <w:spacing w:val="0"/>
          <w:sz w:val="24"/>
        </w:rPr>
        <w:t>生态系统稳定性是长期管理的核心目标，需通过科学的参数控制和系统设计实现。</w:t>
      </w:r>
    </w:p>
    <w:p w14:paraId="0E702D53">
      <w:pPr>
        <w:pageBreakBefore w:val="0"/>
        <w:wordWrap/>
        <w:spacing w:before="160" w:after="0"/>
        <w:ind w:left="0" w:right="0"/>
        <w:jc w:val="left"/>
        <w:textAlignment w:val="auto"/>
        <w:rPr>
          <w:sz w:val="24"/>
        </w:rPr>
      </w:pPr>
      <w:r>
        <w:rPr>
          <w:rFonts w:ascii="宋体" w:hAnsi="宋体" w:eastAsia="宋体" w:cs="宋体"/>
          <w:b/>
          <w:i w:val="0"/>
          <w:spacing w:val="0"/>
          <w:sz w:val="24"/>
        </w:rPr>
        <w:t>硝化系统稳定性管理</w:t>
      </w:r>
      <w:r>
        <w:rPr>
          <w:rFonts w:ascii="宋体" w:hAnsi="宋体" w:eastAsia="宋体" w:cs="宋体"/>
          <w:b w:val="0"/>
          <w:i w:val="0"/>
          <w:spacing w:val="0"/>
          <w:sz w:val="24"/>
        </w:rPr>
        <w:t>：</w:t>
      </w:r>
    </w:p>
    <w:p w14:paraId="5ABA165E">
      <w:pPr>
        <w:pageBreakBefore w:val="0"/>
        <w:wordWrap/>
        <w:spacing w:before="160" w:after="0"/>
        <w:ind w:left="0" w:right="0"/>
        <w:jc w:val="left"/>
        <w:textAlignment w:val="auto"/>
        <w:rPr>
          <w:sz w:val="24"/>
        </w:rPr>
      </w:pPr>
      <w:r>
        <w:rPr>
          <w:rFonts w:ascii="宋体" w:hAnsi="宋体" w:eastAsia="宋体" w:cs="宋体"/>
          <w:b w:val="0"/>
          <w:i w:val="0"/>
          <w:spacing w:val="0"/>
          <w:sz w:val="24"/>
        </w:rPr>
        <w:t>硝化系统是水族造景生态稳定的基础，其维护需关注以下关键点：</w:t>
      </w:r>
    </w:p>
    <w:p w14:paraId="34CEF4E4">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KH值控制</w:t>
      </w:r>
      <w:r>
        <w:rPr>
          <w:rFonts w:ascii="宋体" w:hAnsi="宋体" w:eastAsia="宋体" w:cs="宋体"/>
          <w:b w:val="0"/>
          <w:i w:val="0"/>
          <w:spacing w:val="0"/>
          <w:sz w:val="24"/>
        </w:rPr>
        <w:t>：碱度（KH）是硝化系统稳定性的缓冲剂，需维持≥3dKH。当KH低于2dKH时，即使氨氮浓度仅0.5mg/L，pH也可能在24小时内骤降0.6个单位，严重影响硝化细菌活性。</w:t>
      </w:r>
    </w:p>
    <w:p w14:paraId="073D31FC">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硝化细菌补充</w:t>
      </w:r>
      <w:r>
        <w:rPr>
          <w:rFonts w:ascii="宋体" w:hAnsi="宋体" w:eastAsia="宋体" w:cs="宋体"/>
          <w:b w:val="0"/>
          <w:i w:val="0"/>
          <w:spacing w:val="0"/>
          <w:sz w:val="24"/>
        </w:rPr>
        <w:t>：建议每月添加一次活性硝化细菌制剂，补充因换水、设备维护等流失的菌群。</w:t>
      </w:r>
    </w:p>
    <w:p w14:paraId="7671C353">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硝化系统监测</w:t>
      </w:r>
      <w:r>
        <w:rPr>
          <w:rFonts w:ascii="宋体" w:hAnsi="宋体" w:eastAsia="宋体" w:cs="宋体"/>
          <w:b w:val="0"/>
          <w:i w:val="0"/>
          <w:spacing w:val="0"/>
          <w:sz w:val="24"/>
        </w:rPr>
        <w:t>：通过检测氨氮和亚硝酸盐浓度变化趋势，评估硝化系统健康状况。若检测到氨氮或亚硝酸盐浓度升高，但24小时内未降至安全范围，则表明硝化系统可能存在不稳定。</w:t>
      </w:r>
    </w:p>
    <w:p w14:paraId="5BEB81BF">
      <w:pPr>
        <w:pageBreakBefore w:val="0"/>
        <w:wordWrap/>
        <w:spacing w:before="160" w:after="0"/>
        <w:ind w:left="0" w:right="0"/>
        <w:jc w:val="left"/>
        <w:textAlignment w:val="auto"/>
        <w:rPr>
          <w:rFonts w:hint="eastAsia" w:ascii="宋体" w:hAnsi="宋体" w:eastAsia="宋体" w:cs="宋体"/>
          <w:b/>
          <w:i w:val="0"/>
          <w:spacing w:val="0"/>
          <w:sz w:val="24"/>
          <w:lang w:val="en-US" w:eastAsia="zh-CN"/>
        </w:rPr>
      </w:pPr>
    </w:p>
    <w:p w14:paraId="5ACBF331">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：2025年，深圳某商场水族工程采用"688三重过滤系统"（物理+生物+化学），实现了"生态免换水"（年换水≤2次），其核心在于：</w:t>
      </w:r>
    </w:p>
    <w:p w14:paraId="30E58789">
      <w:pPr>
        <w:pageBreakBefore w:val="0"/>
        <w:numPr>
          <w:ilvl w:val="0"/>
          <w:numId w:val="12"/>
        </w:numPr>
        <w:wordWrap/>
        <w:spacing w:before="160" w:after="0" w:line="240" w:lineRule="auto"/>
        <w:ind w:left="440" w:right="0" w:hanging="440"/>
        <w:jc w:val="left"/>
        <w:textAlignment w:val="auto"/>
        <w:rPr>
          <w:sz w:val="24"/>
        </w:rPr>
      </w:pPr>
      <w:r>
        <w:rPr>
          <w:rFonts w:ascii="宋体" w:hAnsi="宋体" w:eastAsia="宋体" w:cs="宋体"/>
          <w:b w:val="0"/>
          <w:i w:val="0"/>
          <w:spacing w:val="0"/>
          <w:sz w:val="24"/>
        </w:rPr>
        <w:t>采用大流量外置过滤桶（循环流量≥500L/h）</w:t>
      </w:r>
    </w:p>
    <w:p w14:paraId="5A8D821A">
      <w:pPr>
        <w:pageBreakBefore w:val="0"/>
        <w:numPr>
          <w:ilvl w:val="0"/>
          <w:numId w:val="12"/>
        </w:numPr>
        <w:wordWrap/>
        <w:spacing w:before="160" w:after="0" w:line="240" w:lineRule="auto"/>
        <w:ind w:left="440" w:right="0" w:hanging="440"/>
        <w:jc w:val="left"/>
        <w:textAlignment w:val="auto"/>
        <w:rPr>
          <w:sz w:val="24"/>
        </w:rPr>
      </w:pPr>
      <w:r>
        <w:rPr>
          <w:rFonts w:ascii="宋体" w:hAnsi="宋体" w:eastAsia="宋体" w:cs="宋体"/>
          <w:b w:val="0"/>
          <w:i w:val="0"/>
          <w:spacing w:val="0"/>
          <w:sz w:val="24"/>
        </w:rPr>
        <w:t>底床铺设8cm厚的水草泥，增强硝化细菌附着</w:t>
      </w:r>
    </w:p>
    <w:p w14:paraId="7588C526">
      <w:pPr>
        <w:pageBreakBefore w:val="0"/>
        <w:numPr>
          <w:ilvl w:val="0"/>
          <w:numId w:val="12"/>
        </w:numPr>
        <w:wordWrap/>
        <w:spacing w:before="160" w:after="0" w:line="240" w:lineRule="auto"/>
        <w:ind w:left="440" w:right="0" w:hanging="440"/>
        <w:jc w:val="left"/>
        <w:textAlignment w:val="auto"/>
        <w:rPr>
          <w:sz w:val="24"/>
        </w:rPr>
      </w:pPr>
      <w:r>
        <w:rPr>
          <w:rFonts w:ascii="宋体" w:hAnsi="宋体" w:eastAsia="宋体" w:cs="宋体"/>
          <w:b w:val="0"/>
          <w:i w:val="0"/>
          <w:spacing w:val="0"/>
          <w:sz w:val="24"/>
        </w:rPr>
        <w:t>选择低密度生物配置，控制氨氮产生量</w:t>
      </w:r>
    </w:p>
    <w:p w14:paraId="048FAD7F">
      <w:pPr>
        <w:pageBreakBefore w:val="0"/>
        <w:numPr>
          <w:ilvl w:val="0"/>
          <w:numId w:val="12"/>
        </w:numPr>
        <w:wordWrap/>
        <w:spacing w:before="160" w:after="0" w:line="240" w:lineRule="auto"/>
        <w:ind w:left="440" w:right="0" w:hanging="440"/>
        <w:jc w:val="left"/>
        <w:textAlignment w:val="auto"/>
        <w:rPr>
          <w:sz w:val="24"/>
        </w:rPr>
      </w:pPr>
      <w:r>
        <w:rPr>
          <w:rFonts w:ascii="宋体" w:hAnsi="宋体" w:eastAsia="宋体" w:cs="宋体"/>
          <w:b w:val="0"/>
          <w:i w:val="0"/>
          <w:spacing w:val="0"/>
          <w:sz w:val="24"/>
        </w:rPr>
        <w:t>配备智能水质监测系统，实时预警参数异常</w:t>
      </w:r>
    </w:p>
    <w:p w14:paraId="68445ABA">
      <w:pPr>
        <w:pageBreakBefore w:val="0"/>
        <w:wordWrap/>
        <w:spacing w:before="160" w:after="0"/>
        <w:ind w:left="0" w:right="0"/>
        <w:jc w:val="left"/>
        <w:textAlignment w:val="auto"/>
        <w:rPr>
          <w:rFonts w:ascii="宋体" w:hAnsi="宋体" w:eastAsia="宋体" w:cs="宋体"/>
          <w:b/>
          <w:i w:val="0"/>
          <w:spacing w:val="0"/>
          <w:sz w:val="24"/>
        </w:rPr>
      </w:pPr>
    </w:p>
    <w:p w14:paraId="6CF37E96">
      <w:pPr>
        <w:pageBreakBefore w:val="0"/>
        <w:wordWrap/>
        <w:spacing w:before="160" w:after="0"/>
        <w:ind w:left="0" w:right="0"/>
        <w:jc w:val="left"/>
        <w:textAlignment w:val="auto"/>
        <w:rPr>
          <w:sz w:val="24"/>
        </w:rPr>
      </w:pPr>
      <w:r>
        <w:rPr>
          <w:rFonts w:ascii="宋体" w:hAnsi="宋体" w:eastAsia="宋体" w:cs="宋体"/>
          <w:b/>
          <w:i w:val="0"/>
          <w:spacing w:val="0"/>
          <w:sz w:val="24"/>
        </w:rPr>
        <w:t>生物负载管理</w:t>
      </w:r>
      <w:r>
        <w:rPr>
          <w:rFonts w:ascii="宋体" w:hAnsi="宋体" w:eastAsia="宋体" w:cs="宋体"/>
          <w:b w:val="0"/>
          <w:i w:val="0"/>
          <w:spacing w:val="0"/>
          <w:sz w:val="24"/>
        </w:rPr>
        <w:t>：</w:t>
      </w:r>
    </w:p>
    <w:p w14:paraId="05461E51">
      <w:pPr>
        <w:pageBreakBefore w:val="0"/>
        <w:wordWrap/>
        <w:spacing w:before="160" w:after="0"/>
        <w:ind w:left="0" w:right="0"/>
        <w:jc w:val="left"/>
        <w:textAlignment w:val="auto"/>
        <w:rPr>
          <w:sz w:val="24"/>
        </w:rPr>
      </w:pPr>
      <w:r>
        <w:rPr>
          <w:rFonts w:ascii="宋体" w:hAnsi="宋体" w:eastAsia="宋体" w:cs="宋体"/>
          <w:b w:val="0"/>
          <w:i w:val="0"/>
          <w:spacing w:val="0"/>
          <w:sz w:val="24"/>
        </w:rPr>
        <w:t>生物负载是决定系统稳定性的关键指标，需定期评估并调整：</w:t>
      </w:r>
    </w:p>
    <w:p w14:paraId="3D34E593">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负载计算公式</w:t>
      </w:r>
      <w:r>
        <w:rPr>
          <w:rFonts w:ascii="宋体" w:hAnsi="宋体" w:eastAsia="宋体" w:cs="宋体"/>
          <w:b w:val="0"/>
          <w:i w:val="0"/>
          <w:spacing w:val="0"/>
          <w:sz w:val="24"/>
        </w:rPr>
        <w:t>：生物负载量（g/L）= ∑（鱼类体重×0.5）+ ∑（虾类体重×0.3）+ ∑（螺类体重×0.2） / 缸体水容量</w:t>
      </w:r>
    </w:p>
    <w:p w14:paraId="3EB070D7">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负载控制标准</w:t>
      </w:r>
      <w:r>
        <w:rPr>
          <w:rFonts w:ascii="宋体" w:hAnsi="宋体" w:eastAsia="宋体" w:cs="宋体"/>
          <w:b w:val="0"/>
          <w:i w:val="0"/>
          <w:spacing w:val="0"/>
          <w:sz w:val="24"/>
        </w:rPr>
        <w:t>：</w:t>
      </w:r>
    </w:p>
    <w:p w14:paraId="34CECD57">
      <w:pPr>
        <w:pageBreakBefore w:val="0"/>
        <w:numPr>
          <w:ilvl w:val="1"/>
          <w:numId w:val="14"/>
        </w:numPr>
        <w:wordWrap/>
        <w:spacing w:before="160" w:after="0"/>
        <w:ind w:left="880" w:right="0" w:hanging="440"/>
        <w:jc w:val="left"/>
        <w:textAlignment w:val="auto"/>
        <w:rPr>
          <w:sz w:val="24"/>
        </w:rPr>
      </w:pPr>
      <w:r>
        <w:rPr>
          <w:rFonts w:ascii="宋体" w:hAnsi="宋体" w:eastAsia="宋体" w:cs="宋体"/>
          <w:b w:val="0"/>
          <w:i w:val="0"/>
          <w:spacing w:val="0"/>
          <w:sz w:val="24"/>
        </w:rPr>
        <w:t>家庭小型缸（&lt;60cm）：≤0.1g/L</w:t>
      </w:r>
    </w:p>
    <w:p w14:paraId="5E528BFD">
      <w:pPr>
        <w:pageBreakBefore w:val="0"/>
        <w:numPr>
          <w:ilvl w:val="1"/>
          <w:numId w:val="14"/>
        </w:numPr>
        <w:wordWrap/>
        <w:spacing w:before="160" w:after="0"/>
        <w:ind w:left="880" w:right="0" w:hanging="440"/>
        <w:jc w:val="left"/>
        <w:textAlignment w:val="auto"/>
        <w:rPr>
          <w:sz w:val="24"/>
        </w:rPr>
      </w:pPr>
      <w:r>
        <w:rPr>
          <w:rFonts w:ascii="宋体" w:hAnsi="宋体" w:eastAsia="宋体" w:cs="宋体"/>
          <w:b w:val="0"/>
          <w:i w:val="0"/>
          <w:spacing w:val="0"/>
          <w:sz w:val="24"/>
        </w:rPr>
        <w:t>中型商业缸（60-100cm）：≤0.3g/L</w:t>
      </w:r>
    </w:p>
    <w:p w14:paraId="311DD33C">
      <w:pPr>
        <w:pageBreakBefore w:val="0"/>
        <w:numPr>
          <w:ilvl w:val="1"/>
          <w:numId w:val="14"/>
        </w:numPr>
        <w:wordWrap/>
        <w:spacing w:before="160" w:after="0"/>
        <w:ind w:left="880" w:right="0" w:hanging="440"/>
        <w:jc w:val="left"/>
        <w:textAlignment w:val="auto"/>
        <w:rPr>
          <w:sz w:val="24"/>
        </w:rPr>
      </w:pPr>
      <w:r>
        <w:rPr>
          <w:rFonts w:ascii="宋体" w:hAnsi="宋体" w:eastAsia="宋体" w:cs="宋体"/>
          <w:b w:val="0"/>
          <w:i w:val="0"/>
          <w:spacing w:val="0"/>
          <w:sz w:val="24"/>
        </w:rPr>
        <w:t>大型水族工程（&gt;100cm）：≤0.5g/L</w:t>
      </w:r>
    </w:p>
    <w:p w14:paraId="306F2CC1">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负载调整方法</w:t>
      </w:r>
      <w:r>
        <w:rPr>
          <w:rFonts w:ascii="宋体" w:hAnsi="宋体" w:eastAsia="宋体" w:cs="宋体"/>
          <w:b w:val="0"/>
          <w:i w:val="0"/>
          <w:spacing w:val="0"/>
          <w:sz w:val="24"/>
        </w:rPr>
        <w:t>：定期评估生物密度，超出负载标准时需减少生物数量或增加过滤系统规模</w:t>
      </w:r>
    </w:p>
    <w:p w14:paraId="271BE0DC">
      <w:pPr>
        <w:pageBreakBefore w:val="0"/>
        <w:wordWrap/>
        <w:spacing w:before="160" w:after="0"/>
        <w:ind w:left="0" w:right="0"/>
        <w:jc w:val="left"/>
        <w:textAlignment w:val="auto"/>
        <w:rPr>
          <w:rFonts w:ascii="宋体" w:hAnsi="宋体" w:eastAsia="宋体" w:cs="宋体"/>
          <w:b/>
          <w:i w:val="0"/>
          <w:spacing w:val="0"/>
          <w:sz w:val="24"/>
        </w:rPr>
      </w:pPr>
    </w:p>
    <w:p w14:paraId="08C129BB">
      <w:pPr>
        <w:pageBreakBefore w:val="0"/>
        <w:wordWrap/>
        <w:spacing w:before="160" w:after="0"/>
        <w:ind w:left="0" w:right="0"/>
        <w:jc w:val="left"/>
        <w:textAlignment w:val="auto"/>
        <w:rPr>
          <w:sz w:val="24"/>
          <w:szCs w:val="24"/>
        </w:rPr>
      </w:pPr>
      <w:r>
        <w:rPr>
          <w:rFonts w:ascii="宋体" w:hAnsi="宋体" w:eastAsia="宋体" w:cs="宋体"/>
          <w:b/>
          <w:i w:val="0"/>
          <w:spacing w:val="0"/>
          <w:sz w:val="24"/>
          <w:szCs w:val="24"/>
        </w:rPr>
        <w:t>5.2.2 季节性调整</w:t>
      </w:r>
    </w:p>
    <w:p w14:paraId="467A575D">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水族造景需根据季节变化进行相应调整，以维持系统稳定与景观美观。</w:t>
      </w:r>
    </w:p>
    <w:p w14:paraId="129CA0BB">
      <w:pPr>
        <w:pageBreakBefore w:val="0"/>
        <w:wordWrap/>
        <w:spacing w:before="160" w:after="0"/>
        <w:ind w:left="0" w:right="0"/>
        <w:jc w:val="left"/>
        <w:textAlignment w:val="auto"/>
        <w:rPr>
          <w:sz w:val="24"/>
        </w:rPr>
      </w:pPr>
      <w:r>
        <w:rPr>
          <w:rFonts w:ascii="宋体" w:hAnsi="宋体" w:eastAsia="宋体" w:cs="宋体"/>
          <w:b/>
          <w:i w:val="0"/>
          <w:spacing w:val="0"/>
          <w:sz w:val="24"/>
        </w:rPr>
        <w:t>温度季节性管理</w:t>
      </w:r>
      <w:r>
        <w:rPr>
          <w:rFonts w:ascii="宋体" w:hAnsi="宋体" w:eastAsia="宋体" w:cs="宋体"/>
          <w:b w:val="0"/>
          <w:i w:val="0"/>
          <w:spacing w:val="0"/>
          <w:sz w:val="24"/>
        </w:rPr>
        <w:t>：</w:t>
      </w:r>
    </w:p>
    <w:p w14:paraId="2C968DA6">
      <w:pPr>
        <w:pageBreakBefore w:val="0"/>
        <w:wordWrap/>
        <w:spacing w:before="160" w:after="0"/>
        <w:ind w:left="0" w:right="0"/>
        <w:jc w:val="left"/>
        <w:textAlignment w:val="auto"/>
        <w:rPr>
          <w:sz w:val="24"/>
        </w:rPr>
      </w:pPr>
      <w:r>
        <w:rPr>
          <w:rFonts w:ascii="宋体" w:hAnsi="宋体" w:eastAsia="宋体" w:cs="宋体"/>
          <w:b w:val="0"/>
          <w:i w:val="0"/>
          <w:spacing w:val="0"/>
          <w:sz w:val="24"/>
        </w:rPr>
        <w:t>水温是影响水生生物代谢和硝化系统活性的关键因素：</w:t>
      </w:r>
    </w:p>
    <w:p w14:paraId="5C3473A9">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highlight w:val="yellow"/>
        </w:rPr>
        <w:t>夏季</w:t>
      </w:r>
      <w:r>
        <w:rPr>
          <w:rFonts w:ascii="宋体" w:hAnsi="宋体" w:eastAsia="宋体" w:cs="宋体"/>
          <w:b/>
          <w:i w:val="0"/>
          <w:spacing w:val="0"/>
          <w:sz w:val="24"/>
        </w:rPr>
        <w:t>管理</w:t>
      </w:r>
      <w:r>
        <w:rPr>
          <w:rFonts w:ascii="宋体" w:hAnsi="宋体" w:eastAsia="宋体" w:cs="宋体"/>
          <w:b w:val="0"/>
          <w:i w:val="0"/>
          <w:spacing w:val="0"/>
          <w:sz w:val="24"/>
        </w:rPr>
        <w:t>（25-30℃）：</w:t>
      </w:r>
    </w:p>
    <w:p w14:paraId="770B824D">
      <w:pPr>
        <w:pageBreakBefore w:val="0"/>
        <w:numPr>
          <w:ilvl w:val="1"/>
          <w:numId w:val="16"/>
        </w:numPr>
        <w:wordWrap/>
        <w:spacing w:before="160" w:after="0"/>
        <w:ind w:left="880" w:right="0" w:hanging="440"/>
        <w:jc w:val="left"/>
        <w:textAlignment w:val="auto"/>
        <w:rPr>
          <w:sz w:val="24"/>
          <w:u w:val="single"/>
        </w:rPr>
      </w:pPr>
      <w:r>
        <w:rPr>
          <w:rFonts w:ascii="宋体" w:hAnsi="宋体" w:eastAsia="宋体" w:cs="宋体"/>
          <w:b w:val="0"/>
          <w:i w:val="0"/>
          <w:spacing w:val="0"/>
          <w:sz w:val="24"/>
        </w:rPr>
        <w:t>增加换水频率，每周至少换水</w:t>
      </w:r>
      <w:r>
        <w:rPr>
          <w:rFonts w:ascii="宋体" w:hAnsi="宋体" w:eastAsia="宋体" w:cs="宋体"/>
          <w:b w:val="0"/>
          <w:i w:val="0"/>
          <w:spacing w:val="0"/>
          <w:sz w:val="24"/>
          <w:u w:val="single"/>
        </w:rPr>
        <w:t>1/3</w:t>
      </w:r>
    </w:p>
    <w:p w14:paraId="7B393758">
      <w:pPr>
        <w:pageBreakBefore w:val="0"/>
        <w:numPr>
          <w:ilvl w:val="1"/>
          <w:numId w:val="16"/>
        </w:numPr>
        <w:wordWrap/>
        <w:spacing w:before="160" w:after="0"/>
        <w:ind w:left="880" w:right="0" w:hanging="440"/>
        <w:jc w:val="left"/>
        <w:textAlignment w:val="auto"/>
        <w:rPr>
          <w:sz w:val="24"/>
        </w:rPr>
      </w:pPr>
      <w:r>
        <w:rPr>
          <w:rFonts w:ascii="宋体" w:hAnsi="宋体" w:eastAsia="宋体" w:cs="宋体"/>
          <w:b w:val="0"/>
          <w:i w:val="0"/>
          <w:spacing w:val="0"/>
          <w:sz w:val="24"/>
        </w:rPr>
        <w:t>降低光照强度，避免藻类爆发</w:t>
      </w:r>
    </w:p>
    <w:p w14:paraId="7185BC92">
      <w:pPr>
        <w:pageBreakBefore w:val="0"/>
        <w:numPr>
          <w:ilvl w:val="1"/>
          <w:numId w:val="16"/>
        </w:numPr>
        <w:wordWrap/>
        <w:spacing w:before="160" w:after="0"/>
        <w:ind w:left="880" w:right="0" w:hanging="440"/>
        <w:jc w:val="left"/>
        <w:textAlignment w:val="auto"/>
        <w:rPr>
          <w:sz w:val="24"/>
        </w:rPr>
      </w:pPr>
      <w:r>
        <w:rPr>
          <w:rFonts w:ascii="宋体" w:hAnsi="宋体" w:eastAsia="宋体" w:cs="宋体"/>
          <w:b w:val="0"/>
          <w:i w:val="0"/>
          <w:spacing w:val="0"/>
          <w:sz w:val="24"/>
        </w:rPr>
        <w:t>增加溶氧，防止鱼类缺氧</w:t>
      </w:r>
    </w:p>
    <w:p w14:paraId="356F4735">
      <w:pPr>
        <w:pageBreakBefore w:val="0"/>
        <w:numPr>
          <w:ilvl w:val="1"/>
          <w:numId w:val="16"/>
        </w:numPr>
        <w:wordWrap/>
        <w:spacing w:before="160" w:after="0"/>
        <w:ind w:left="880" w:right="0" w:hanging="440"/>
        <w:jc w:val="left"/>
        <w:textAlignment w:val="auto"/>
        <w:rPr>
          <w:sz w:val="24"/>
        </w:rPr>
      </w:pPr>
      <w:r>
        <w:rPr>
          <w:rFonts w:ascii="宋体" w:hAnsi="宋体" w:eastAsia="宋体" w:cs="宋体"/>
          <w:b w:val="0"/>
          <w:i w:val="0"/>
          <w:spacing w:val="0"/>
          <w:sz w:val="24"/>
        </w:rPr>
        <w:t>控制喂食量，减少氨氮产生</w:t>
      </w:r>
    </w:p>
    <w:p w14:paraId="4BC98BC7">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highlight w:val="yellow"/>
        </w:rPr>
        <w:t>冬季</w:t>
      </w:r>
      <w:r>
        <w:rPr>
          <w:rFonts w:ascii="宋体" w:hAnsi="宋体" w:eastAsia="宋体" w:cs="宋体"/>
          <w:b/>
          <w:i w:val="0"/>
          <w:spacing w:val="0"/>
          <w:sz w:val="24"/>
        </w:rPr>
        <w:t>管理</w:t>
      </w:r>
      <w:r>
        <w:rPr>
          <w:rFonts w:ascii="宋体" w:hAnsi="宋体" w:eastAsia="宋体" w:cs="宋体"/>
          <w:b w:val="0"/>
          <w:i w:val="0"/>
          <w:spacing w:val="0"/>
          <w:sz w:val="24"/>
        </w:rPr>
        <w:t>（18-22℃）：</w:t>
      </w:r>
    </w:p>
    <w:p w14:paraId="2805B18D">
      <w:pPr>
        <w:pageBreakBefore w:val="0"/>
        <w:numPr>
          <w:ilvl w:val="1"/>
          <w:numId w:val="17"/>
        </w:numPr>
        <w:wordWrap/>
        <w:spacing w:before="160" w:after="0"/>
        <w:ind w:left="880" w:right="0" w:hanging="440"/>
        <w:jc w:val="left"/>
        <w:textAlignment w:val="auto"/>
        <w:rPr>
          <w:sz w:val="24"/>
        </w:rPr>
      </w:pPr>
      <w:r>
        <w:rPr>
          <w:rFonts w:ascii="宋体" w:hAnsi="宋体" w:eastAsia="宋体" w:cs="宋体"/>
          <w:b w:val="0"/>
          <w:i w:val="0"/>
          <w:spacing w:val="0"/>
          <w:sz w:val="24"/>
        </w:rPr>
        <w:t>减少换水频率，每2周换水1/4</w:t>
      </w:r>
    </w:p>
    <w:p w14:paraId="77612E1F">
      <w:pPr>
        <w:pageBreakBefore w:val="0"/>
        <w:numPr>
          <w:ilvl w:val="1"/>
          <w:numId w:val="17"/>
        </w:numPr>
        <w:wordWrap/>
        <w:spacing w:before="160" w:after="0"/>
        <w:ind w:left="880" w:right="0" w:hanging="440"/>
        <w:jc w:val="left"/>
        <w:textAlignment w:val="auto"/>
        <w:rPr>
          <w:sz w:val="24"/>
        </w:rPr>
      </w:pPr>
      <w:r>
        <w:rPr>
          <w:rFonts w:ascii="宋体" w:hAnsi="宋体" w:eastAsia="宋体" w:cs="宋体"/>
          <w:b w:val="0"/>
          <w:i w:val="0"/>
          <w:spacing w:val="0"/>
          <w:sz w:val="24"/>
        </w:rPr>
        <w:t>提高光照强度，促进水草光合作用</w:t>
      </w:r>
    </w:p>
    <w:p w14:paraId="5328F15A">
      <w:pPr>
        <w:pageBreakBefore w:val="0"/>
        <w:numPr>
          <w:ilvl w:val="1"/>
          <w:numId w:val="17"/>
        </w:numPr>
        <w:wordWrap/>
        <w:spacing w:before="160" w:after="0"/>
        <w:ind w:left="880" w:right="0" w:hanging="440"/>
        <w:jc w:val="left"/>
        <w:textAlignment w:val="auto"/>
        <w:rPr>
          <w:sz w:val="24"/>
        </w:rPr>
      </w:pPr>
      <w:r>
        <w:rPr>
          <w:rFonts w:ascii="宋体" w:hAnsi="宋体" w:eastAsia="宋体" w:cs="宋体"/>
          <w:b w:val="0"/>
          <w:i w:val="0"/>
          <w:spacing w:val="0"/>
          <w:sz w:val="24"/>
        </w:rPr>
        <w:t>调整硝化系统，添加低温活性硝化细菌</w:t>
      </w:r>
    </w:p>
    <w:p w14:paraId="7159523D">
      <w:pPr>
        <w:pageBreakBefore w:val="0"/>
        <w:numPr>
          <w:ilvl w:val="1"/>
          <w:numId w:val="17"/>
        </w:numPr>
        <w:wordWrap/>
        <w:spacing w:before="160" w:after="0"/>
        <w:ind w:left="880" w:right="0" w:hanging="440"/>
        <w:jc w:val="left"/>
        <w:textAlignment w:val="auto"/>
        <w:rPr>
          <w:sz w:val="24"/>
        </w:rPr>
      </w:pPr>
      <w:r>
        <w:rPr>
          <w:rFonts w:ascii="宋体" w:hAnsi="宋体" w:eastAsia="宋体" w:cs="宋体"/>
          <w:b w:val="0"/>
          <w:i w:val="0"/>
          <w:spacing w:val="0"/>
          <w:sz w:val="24"/>
        </w:rPr>
        <w:t>增加喂食频率，但减少单次喂食量</w:t>
      </w:r>
    </w:p>
    <w:p w14:paraId="267DA4C5">
      <w:pPr>
        <w:pageBreakBefore w:val="0"/>
        <w:wordWrap/>
        <w:spacing w:before="160" w:after="0"/>
        <w:ind w:left="0" w:right="0"/>
        <w:jc w:val="left"/>
        <w:textAlignment w:val="auto"/>
        <w:rPr>
          <w:sz w:val="24"/>
        </w:rPr>
      </w:pPr>
      <w:r>
        <w:rPr>
          <w:rFonts w:ascii="宋体" w:hAnsi="宋体" w:eastAsia="宋体" w:cs="宋体"/>
          <w:b/>
          <w:i w:val="0"/>
          <w:spacing w:val="0"/>
          <w:sz w:val="24"/>
        </w:rPr>
        <w:t>光照周期季节性调整</w:t>
      </w:r>
      <w:r>
        <w:rPr>
          <w:rFonts w:ascii="宋体" w:hAnsi="宋体" w:eastAsia="宋体" w:cs="宋体"/>
          <w:b w:val="0"/>
          <w:i w:val="0"/>
          <w:spacing w:val="0"/>
          <w:sz w:val="24"/>
        </w:rPr>
        <w:t>：</w:t>
      </w:r>
    </w:p>
    <w:p w14:paraId="5FFBDD57">
      <w:pPr>
        <w:pageBreakBefore w:val="0"/>
        <w:wordWrap/>
        <w:spacing w:before="160" w:after="0"/>
        <w:ind w:left="0" w:right="0"/>
        <w:jc w:val="left"/>
        <w:textAlignment w:val="auto"/>
        <w:rPr>
          <w:sz w:val="24"/>
        </w:rPr>
      </w:pPr>
      <w:r>
        <w:rPr>
          <w:rFonts w:ascii="宋体" w:hAnsi="宋体" w:eastAsia="宋体" w:cs="宋体"/>
          <w:b w:val="0"/>
          <w:i w:val="0"/>
          <w:spacing w:val="0"/>
          <w:sz w:val="24"/>
        </w:rPr>
        <w:t>光照不仅影响水草生长，也决定藻类繁殖与鱼类行为：</w:t>
      </w:r>
    </w:p>
    <w:p w14:paraId="67B359FB">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自然光照依赖型缸</w:t>
      </w:r>
      <w:r>
        <w:rPr>
          <w:rFonts w:ascii="宋体" w:hAnsi="宋体" w:eastAsia="宋体" w:cs="宋体"/>
          <w:b w:val="0"/>
          <w:i w:val="0"/>
          <w:spacing w:val="0"/>
          <w:sz w:val="24"/>
        </w:rPr>
        <w:t>：需根据季节调整人工补光时间，确保总光照（自然+人工）维持在6-8小时/天</w:t>
      </w:r>
    </w:p>
    <w:p w14:paraId="09DBC14B">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全年恒温恒湿型缸</w:t>
      </w:r>
      <w:r>
        <w:rPr>
          <w:rFonts w:ascii="宋体" w:hAnsi="宋体" w:eastAsia="宋体" w:cs="宋体"/>
          <w:b w:val="0"/>
          <w:i w:val="0"/>
          <w:spacing w:val="0"/>
          <w:sz w:val="24"/>
        </w:rPr>
        <w:t>：建议设定"季节模拟模式"，通过渐进调整光照周期（如夏季延长至10小时，冬季缩短至6小时），模拟自然季节变化，促进生物健康</w:t>
      </w:r>
    </w:p>
    <w:p w14:paraId="6F00CA10">
      <w:pPr>
        <w:pageBreakBefore w:val="0"/>
        <w:wordWrap/>
        <w:spacing w:before="160" w:after="0"/>
        <w:ind w:left="0" w:right="0"/>
        <w:jc w:val="left"/>
        <w:textAlignment w:val="auto"/>
        <w:rPr>
          <w:rFonts w:hint="eastAsia" w:ascii="宋体" w:hAnsi="宋体" w:eastAsia="宋体" w:cs="宋体"/>
          <w:b/>
          <w:i w:val="0"/>
          <w:spacing w:val="0"/>
          <w:sz w:val="24"/>
          <w:lang w:val="en-US" w:eastAsia="zh-CN"/>
        </w:rPr>
      </w:pPr>
    </w:p>
    <w:p w14:paraId="479A52FB">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：广州德洋水族科技有限公司的大型水族工程采用"智能季节调节系统"，能根据当地气象数据自动调整水温、光照强度和周期，使大型商场水族幕墙全年保持稳定，生物死亡率降低65%。</w:t>
      </w:r>
    </w:p>
    <w:p w14:paraId="214CEE0F">
      <w:pPr>
        <w:pageBreakBefore w:val="0"/>
        <w:wordWrap/>
        <w:spacing w:before="160" w:after="0"/>
        <w:ind w:left="0" w:right="0"/>
        <w:jc w:val="left"/>
        <w:textAlignment w:val="auto"/>
        <w:rPr>
          <w:rFonts w:ascii="宋体" w:hAnsi="宋体" w:eastAsia="宋体" w:cs="宋体"/>
          <w:b/>
          <w:i w:val="0"/>
          <w:spacing w:val="0"/>
          <w:sz w:val="24"/>
        </w:rPr>
      </w:pPr>
    </w:p>
    <w:p w14:paraId="07A841F8">
      <w:pPr>
        <w:pageBreakBefore w:val="0"/>
        <w:wordWrap/>
        <w:spacing w:before="160" w:after="0"/>
        <w:ind w:left="0" w:right="0"/>
        <w:jc w:val="left"/>
        <w:textAlignment w:val="auto"/>
        <w:rPr>
          <w:sz w:val="24"/>
        </w:rPr>
      </w:pPr>
      <w:r>
        <w:rPr>
          <w:rFonts w:ascii="宋体" w:hAnsi="宋体" w:eastAsia="宋体" w:cs="宋体"/>
          <w:b/>
          <w:i w:val="0"/>
          <w:spacing w:val="0"/>
          <w:sz w:val="24"/>
        </w:rPr>
        <w:t>5.2.3 常见问题的预防与处理</w:t>
      </w:r>
    </w:p>
    <w:p w14:paraId="38D8264E">
      <w:pPr>
        <w:pageBreakBefore w:val="0"/>
        <w:wordWrap/>
        <w:spacing w:before="160" w:after="0"/>
        <w:ind w:left="0" w:right="0"/>
        <w:jc w:val="left"/>
        <w:textAlignment w:val="auto"/>
        <w:rPr>
          <w:sz w:val="24"/>
        </w:rPr>
      </w:pPr>
      <w:r>
        <w:rPr>
          <w:rFonts w:ascii="宋体" w:hAnsi="宋体" w:eastAsia="宋体" w:cs="宋体"/>
          <w:b/>
          <w:i w:val="0"/>
          <w:spacing w:val="0"/>
          <w:sz w:val="24"/>
        </w:rPr>
        <w:t>藻类爆发</w:t>
      </w:r>
      <w:r>
        <w:rPr>
          <w:rFonts w:ascii="宋体" w:hAnsi="宋体" w:eastAsia="宋体" w:cs="宋体"/>
          <w:b w:val="0"/>
          <w:i w:val="0"/>
          <w:spacing w:val="0"/>
          <w:sz w:val="24"/>
        </w:rPr>
        <w:t>是水族造景中最常见的问题，也是最难彻底解决的挑战。根据2025年数据，90%的水族造景爱好者曾遭遇不同程度的藻类爆发。</w:t>
      </w:r>
    </w:p>
    <w:p w14:paraId="413ACE38">
      <w:pPr>
        <w:pageBreakBefore w:val="0"/>
        <w:wordWrap/>
        <w:spacing w:before="160" w:after="0"/>
        <w:ind w:left="0" w:right="0"/>
        <w:jc w:val="left"/>
        <w:textAlignment w:val="auto"/>
        <w:rPr>
          <w:sz w:val="24"/>
        </w:rPr>
      </w:pPr>
      <w:r>
        <w:rPr>
          <w:rFonts w:ascii="宋体" w:hAnsi="宋体" w:eastAsia="宋体" w:cs="宋体"/>
          <w:b/>
          <w:i w:val="0"/>
          <w:spacing w:val="0"/>
          <w:sz w:val="24"/>
        </w:rPr>
        <w:t>藻类分类与针对性处理</w:t>
      </w:r>
      <w:r>
        <w:rPr>
          <w:rFonts w:ascii="宋体" w:hAnsi="宋体" w:eastAsia="宋体" w:cs="宋体"/>
          <w:b w:val="0"/>
          <w:i w:val="0"/>
          <w:spacing w:val="0"/>
          <w:sz w:val="24"/>
        </w:rPr>
        <w:t>：</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60"/>
        <w:gridCol w:w="1660"/>
        <w:gridCol w:w="1660"/>
        <w:gridCol w:w="1660"/>
        <w:gridCol w:w="1660"/>
      </w:tblGrid>
      <w:tr w14:paraId="72EA0D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660" w:type="dxa"/>
            <w:shd w:val="clear" w:color="auto" w:fill="EEEEEE"/>
          </w:tcPr>
          <w:p w14:paraId="02B6231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藻类类型</w:t>
            </w:r>
          </w:p>
        </w:tc>
        <w:tc>
          <w:tcPr>
            <w:tcW w:w="1660" w:type="dxa"/>
            <w:shd w:val="clear" w:color="auto" w:fill="EEEEEE"/>
          </w:tcPr>
          <w:p w14:paraId="6313854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特征描述</w:t>
            </w:r>
          </w:p>
        </w:tc>
        <w:tc>
          <w:tcPr>
            <w:tcW w:w="1660" w:type="dxa"/>
            <w:shd w:val="clear" w:color="auto" w:fill="EEEEEE"/>
          </w:tcPr>
          <w:p w14:paraId="557AC2B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爆发原因</w:t>
            </w:r>
          </w:p>
        </w:tc>
        <w:tc>
          <w:tcPr>
            <w:tcW w:w="1660" w:type="dxa"/>
            <w:shd w:val="clear" w:color="auto" w:fill="EEEEEE"/>
          </w:tcPr>
          <w:p w14:paraId="5120E3E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预防措施</w:t>
            </w:r>
          </w:p>
        </w:tc>
        <w:tc>
          <w:tcPr>
            <w:tcW w:w="1660" w:type="dxa"/>
            <w:shd w:val="clear" w:color="auto" w:fill="EEEEEE"/>
          </w:tcPr>
          <w:p w14:paraId="2021B18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处理方法</w:t>
            </w:r>
          </w:p>
        </w:tc>
      </w:tr>
      <w:tr w14:paraId="60A982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660" w:type="dxa"/>
          </w:tcPr>
          <w:p w14:paraId="1CA134E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绿藻</w:t>
            </w:r>
          </w:p>
        </w:tc>
        <w:tc>
          <w:tcPr>
            <w:tcW w:w="1660" w:type="dxa"/>
          </w:tcPr>
          <w:p w14:paraId="61A4E9D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覆盖缸壁和石头，呈绿色</w:t>
            </w:r>
          </w:p>
        </w:tc>
        <w:tc>
          <w:tcPr>
            <w:tcW w:w="1660" w:type="dxa"/>
          </w:tcPr>
          <w:p w14:paraId="327D889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光照过强、硝酸盐浓度过高</w:t>
            </w:r>
          </w:p>
        </w:tc>
        <w:tc>
          <w:tcPr>
            <w:tcW w:w="1660" w:type="dxa"/>
          </w:tcPr>
          <w:p w14:paraId="000DA45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控制光照时间≤6小时/天，每周换水1/4</w:t>
            </w:r>
          </w:p>
        </w:tc>
        <w:tc>
          <w:tcPr>
            <w:tcW w:w="1660" w:type="dxa"/>
          </w:tcPr>
          <w:p w14:paraId="30C4DE1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物理刮除+戊二醛点射（5ml/100L）</w:t>
            </w:r>
          </w:p>
        </w:tc>
      </w:tr>
      <w:tr w14:paraId="2B310F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660" w:type="dxa"/>
          </w:tcPr>
          <w:p w14:paraId="748E160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褐藻</w:t>
            </w:r>
          </w:p>
        </w:tc>
        <w:tc>
          <w:tcPr>
            <w:tcW w:w="1660" w:type="dxa"/>
          </w:tcPr>
          <w:p w14:paraId="7FA2D44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覆盖缸底和植物叶片，呈褐色</w:t>
            </w:r>
          </w:p>
        </w:tc>
        <w:tc>
          <w:tcPr>
            <w:tcW w:w="1660" w:type="dxa"/>
          </w:tcPr>
          <w:p w14:paraId="530890F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光照过强、CO₂不足、硝酸盐高</w:t>
            </w:r>
          </w:p>
        </w:tc>
        <w:tc>
          <w:tcPr>
            <w:tcW w:w="1660" w:type="dxa"/>
          </w:tcPr>
          <w:p w14:paraId="419C952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降低光照强度，增加CO₂浓度至15-20ppm</w:t>
            </w:r>
          </w:p>
        </w:tc>
        <w:tc>
          <w:tcPr>
            <w:tcW w:w="1660" w:type="dxa"/>
          </w:tcPr>
          <w:p w14:paraId="7ACE5C1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物理清除+调整光照色温至6500K</w:t>
            </w:r>
          </w:p>
        </w:tc>
      </w:tr>
      <w:tr w14:paraId="0D76EB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660" w:type="dxa"/>
          </w:tcPr>
          <w:p w14:paraId="2D592D5F">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黑毛藻</w:t>
            </w:r>
          </w:p>
        </w:tc>
        <w:tc>
          <w:tcPr>
            <w:tcW w:w="1660" w:type="dxa"/>
          </w:tcPr>
          <w:p w14:paraId="5291C72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沿水草茎部生长，呈黑色</w:t>
            </w:r>
          </w:p>
        </w:tc>
        <w:tc>
          <w:tcPr>
            <w:tcW w:w="1660" w:type="dxa"/>
          </w:tcPr>
          <w:p w14:paraId="7A9B4B7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磷酸盐浓度过高、光照不足</w:t>
            </w:r>
          </w:p>
        </w:tc>
        <w:tc>
          <w:tcPr>
            <w:tcW w:w="1660" w:type="dxa"/>
          </w:tcPr>
          <w:p w14:paraId="6840C2E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控制磷酸盐浓度&lt;0.5mg/L，增加光照至1.5W/L</w:t>
            </w:r>
          </w:p>
        </w:tc>
        <w:tc>
          <w:tcPr>
            <w:tcW w:w="1660" w:type="dxa"/>
          </w:tcPr>
          <w:p w14:paraId="29C642E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物理清除+磷酸盐吸附剂</w:t>
            </w:r>
          </w:p>
        </w:tc>
      </w:tr>
      <w:tr w14:paraId="1C33D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660" w:type="dxa"/>
          </w:tcPr>
          <w:p w14:paraId="30FA03F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丝藻</w:t>
            </w:r>
          </w:p>
        </w:tc>
        <w:tc>
          <w:tcPr>
            <w:tcW w:w="1660" w:type="dxa"/>
          </w:tcPr>
          <w:p w14:paraId="214D146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沿缸壁和石头生长，呈丝状</w:t>
            </w:r>
          </w:p>
        </w:tc>
        <w:tc>
          <w:tcPr>
            <w:tcW w:w="1660" w:type="dxa"/>
          </w:tcPr>
          <w:p w14:paraId="4A985A5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磷酸盐浓度过高、水流不足</w:t>
            </w:r>
          </w:p>
        </w:tc>
        <w:tc>
          <w:tcPr>
            <w:tcW w:w="1660" w:type="dxa"/>
          </w:tcPr>
          <w:p w14:paraId="1C971A5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控制磷酸盐浓度&lt;0.5mg/L，增加水流强度</w:t>
            </w:r>
          </w:p>
        </w:tc>
        <w:tc>
          <w:tcPr>
            <w:tcW w:w="1660" w:type="dxa"/>
          </w:tcPr>
          <w:p w14:paraId="55DC9E0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物理清除+活性炭吸附</w:t>
            </w:r>
          </w:p>
        </w:tc>
      </w:tr>
      <w:tr w14:paraId="343BBF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660" w:type="dxa"/>
          </w:tcPr>
          <w:p w14:paraId="434B84C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蓝藻</w:t>
            </w:r>
          </w:p>
        </w:tc>
        <w:tc>
          <w:tcPr>
            <w:tcW w:w="1660" w:type="dxa"/>
          </w:tcPr>
          <w:p w14:paraId="5A69CB8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覆盖底砂，呈蓝绿色，有腥味</w:t>
            </w:r>
          </w:p>
        </w:tc>
        <w:tc>
          <w:tcPr>
            <w:tcW w:w="1660" w:type="dxa"/>
          </w:tcPr>
          <w:p w14:paraId="1ECBD97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强光+高温+高磷环境</w:t>
            </w:r>
          </w:p>
        </w:tc>
        <w:tc>
          <w:tcPr>
            <w:tcW w:w="1660" w:type="dxa"/>
          </w:tcPr>
          <w:p w14:paraId="7B312FE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控制光照强度，避免阳光直射，控制磷酸盐浓度</w:t>
            </w:r>
          </w:p>
        </w:tc>
        <w:tc>
          <w:tcPr>
            <w:tcW w:w="1660" w:type="dxa"/>
          </w:tcPr>
          <w:p w14:paraId="0B37696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物理清除+高盐度处理（80g/L）</w:t>
            </w:r>
          </w:p>
        </w:tc>
      </w:tr>
    </w:tbl>
    <w:p w14:paraId="57951695">
      <w:pPr>
        <w:pageBreakBefore w:val="0"/>
        <w:wordWrap/>
        <w:spacing w:before="160" w:after="0"/>
        <w:ind w:left="0" w:right="0"/>
        <w:jc w:val="left"/>
        <w:textAlignment w:val="auto"/>
        <w:rPr>
          <w:sz w:val="24"/>
        </w:rPr>
      </w:pPr>
      <w:r>
        <w:rPr>
          <w:rFonts w:ascii="宋体" w:hAnsi="宋体" w:eastAsia="宋体" w:cs="宋体"/>
          <w:b/>
          <w:i w:val="0"/>
          <w:spacing w:val="0"/>
          <w:sz w:val="24"/>
        </w:rPr>
        <w:t>预防胜于治疗</w:t>
      </w:r>
      <w:r>
        <w:rPr>
          <w:rFonts w:ascii="宋体" w:hAnsi="宋体" w:eastAsia="宋体" w:cs="宋体"/>
          <w:b w:val="0"/>
          <w:i w:val="0"/>
          <w:spacing w:val="0"/>
          <w:sz w:val="24"/>
        </w:rPr>
        <w:t>：研究表明，</w:t>
      </w:r>
      <w:r>
        <w:rPr>
          <w:rFonts w:ascii="宋体" w:hAnsi="宋体" w:eastAsia="宋体" w:cs="宋体"/>
          <w:b/>
          <w:i w:val="0"/>
          <w:spacing w:val="0"/>
          <w:sz w:val="24"/>
        </w:rPr>
        <w:t>85%的藻类爆发可通过源头控制（光照、营养、水流）有效预防</w:t>
      </w:r>
      <w:r>
        <w:rPr>
          <w:rFonts w:ascii="宋体" w:hAnsi="宋体" w:eastAsia="宋体" w:cs="宋体"/>
          <w:b w:val="0"/>
          <w:i w:val="0"/>
          <w:spacing w:val="0"/>
          <w:sz w:val="24"/>
        </w:rPr>
        <w:t>。具体措施包括：</w:t>
      </w:r>
    </w:p>
    <w:p w14:paraId="55DF8C63">
      <w:pPr>
        <w:pageBreakBefore w:val="0"/>
        <w:numPr>
          <w:ilvl w:val="0"/>
          <w:numId w:val="19"/>
        </w:numPr>
        <w:wordWrap/>
        <w:spacing w:before="160" w:after="0"/>
        <w:ind w:left="440" w:right="0" w:hanging="440"/>
        <w:jc w:val="left"/>
        <w:textAlignment w:val="auto"/>
        <w:rPr>
          <w:sz w:val="24"/>
        </w:rPr>
      </w:pPr>
      <w:r>
        <w:rPr>
          <w:rFonts w:ascii="宋体" w:hAnsi="宋体" w:eastAsia="宋体" w:cs="宋体"/>
          <w:b w:val="0"/>
          <w:i w:val="0"/>
          <w:spacing w:val="0"/>
          <w:sz w:val="24"/>
        </w:rPr>
        <w:t>光照控制：每日不超过6小时，使用定时器精准控制，避免人工开关灯误差</w:t>
      </w:r>
    </w:p>
    <w:p w14:paraId="29BA40B9">
      <w:pPr>
        <w:pageBreakBefore w:val="0"/>
        <w:numPr>
          <w:ilvl w:val="0"/>
          <w:numId w:val="19"/>
        </w:numPr>
        <w:wordWrap/>
        <w:spacing w:before="160" w:after="0"/>
        <w:ind w:left="440" w:right="0" w:hanging="440"/>
        <w:jc w:val="left"/>
        <w:textAlignment w:val="auto"/>
        <w:rPr>
          <w:sz w:val="24"/>
        </w:rPr>
      </w:pPr>
      <w:r>
        <w:rPr>
          <w:rFonts w:ascii="宋体" w:hAnsi="宋体" w:eastAsia="宋体" w:cs="宋体"/>
          <w:b w:val="0"/>
          <w:i w:val="0"/>
          <w:spacing w:val="0"/>
          <w:sz w:val="24"/>
        </w:rPr>
        <w:t>营养控制：喂食量控制在3-5分钟内吃完，剩余残饵必须10分钟内清除；使用低磷液肥</w:t>
      </w:r>
    </w:p>
    <w:p w14:paraId="7E8BFEA2">
      <w:pPr>
        <w:pageBreakBefore w:val="0"/>
        <w:numPr>
          <w:ilvl w:val="0"/>
          <w:numId w:val="19"/>
        </w:numPr>
        <w:wordWrap/>
        <w:spacing w:before="160" w:after="0"/>
        <w:ind w:left="440" w:right="0" w:hanging="440"/>
        <w:jc w:val="left"/>
        <w:textAlignment w:val="auto"/>
        <w:rPr>
          <w:sz w:val="24"/>
        </w:rPr>
      </w:pPr>
      <w:r>
        <w:rPr>
          <w:rFonts w:ascii="宋体" w:hAnsi="宋体" w:eastAsia="宋体" w:cs="宋体"/>
          <w:b w:val="0"/>
          <w:i w:val="0"/>
          <w:spacing w:val="0"/>
          <w:sz w:val="24"/>
        </w:rPr>
        <w:t>水流优化：确保缸内无死水区，水流速度≥2cm/s，特别是缸底角落</w:t>
      </w:r>
    </w:p>
    <w:p w14:paraId="12E36C57">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案例警示</w:t>
      </w:r>
      <w:r>
        <w:rPr>
          <w:rFonts w:ascii="宋体" w:hAnsi="宋体" w:eastAsia="宋体" w:cs="宋体"/>
          <w:b w:val="0"/>
          <w:i w:val="0"/>
          <w:spacing w:val="0"/>
          <w:sz w:val="24"/>
        </w:rPr>
        <w:t>：2024年，一位爱好者因过度依赖工具鱼虾（如黑壳虾）控制藻类，忽视了根源控制，最终导致藻类爆发。这是因为</w:t>
      </w:r>
      <w:r>
        <w:rPr>
          <w:rFonts w:ascii="宋体" w:hAnsi="宋体" w:eastAsia="宋体" w:cs="宋体"/>
          <w:b/>
          <w:i w:val="0"/>
          <w:spacing w:val="0"/>
          <w:sz w:val="24"/>
        </w:rPr>
        <w:t>工具生物的控藻能力有限，无法替代科学的光照和营养管理</w:t>
      </w:r>
      <w:r>
        <w:rPr>
          <w:rFonts w:ascii="宋体" w:hAnsi="宋体" w:eastAsia="宋体" w:cs="宋体"/>
          <w:b w:val="0"/>
          <w:i w:val="0"/>
          <w:spacing w:val="0"/>
          <w:sz w:val="24"/>
        </w:rPr>
        <w:t>。例如，100L缸中30只黑壳虾仅能处理约30%的藻类，剩余70%仍需依靠环境参数控制。</w:t>
      </w:r>
    </w:p>
    <w:p w14:paraId="007A663E">
      <w:pPr>
        <w:pageBreakBefore w:val="0"/>
        <w:wordWrap/>
        <w:spacing w:before="160" w:after="0"/>
        <w:ind w:left="0" w:right="0"/>
        <w:jc w:val="left"/>
        <w:textAlignment w:val="auto"/>
        <w:rPr>
          <w:rFonts w:ascii="宋体" w:hAnsi="宋体" w:eastAsia="宋体" w:cs="宋体"/>
          <w:b/>
          <w:i w:val="0"/>
          <w:spacing w:val="0"/>
          <w:sz w:val="28"/>
        </w:rPr>
      </w:pPr>
    </w:p>
    <w:p w14:paraId="5356F7AF">
      <w:pPr>
        <w:pageBreakBefore w:val="0"/>
        <w:wordWrap/>
        <w:spacing w:before="160" w:after="0"/>
        <w:ind w:left="0" w:right="0"/>
        <w:jc w:val="left"/>
        <w:textAlignment w:val="auto"/>
        <w:rPr>
          <w:sz w:val="28"/>
        </w:rPr>
      </w:pPr>
      <w:r>
        <w:rPr>
          <w:rFonts w:ascii="宋体" w:hAnsi="宋体" w:eastAsia="宋体" w:cs="宋体"/>
          <w:b/>
          <w:i w:val="0"/>
          <w:spacing w:val="0"/>
          <w:sz w:val="28"/>
        </w:rPr>
        <w:t>5.3 高级管理技术</w:t>
      </w:r>
    </w:p>
    <w:p w14:paraId="2C1404F5">
      <w:pPr>
        <w:pageBreakBefore w:val="0"/>
        <w:wordWrap/>
        <w:spacing w:before="160" w:after="0"/>
        <w:ind w:left="0" w:right="0"/>
        <w:jc w:val="left"/>
        <w:textAlignment w:val="auto"/>
        <w:rPr>
          <w:sz w:val="24"/>
        </w:rPr>
      </w:pPr>
      <w:r>
        <w:rPr>
          <w:rFonts w:ascii="宋体" w:hAnsi="宋体" w:eastAsia="宋体" w:cs="宋体"/>
          <w:b w:val="0"/>
          <w:i w:val="0"/>
          <w:spacing w:val="0"/>
          <w:sz w:val="24"/>
        </w:rPr>
        <w:t>高级管理技术是水族造景向专业化、智能化发展的关键，掌握这些技术可显著提升系统稳定性与造景艺术表现力。</w:t>
      </w:r>
    </w:p>
    <w:p w14:paraId="747970F4">
      <w:pPr>
        <w:pageBreakBefore w:val="0"/>
        <w:wordWrap/>
        <w:spacing w:before="160" w:after="0"/>
        <w:ind w:left="0" w:right="0"/>
        <w:jc w:val="left"/>
        <w:textAlignment w:val="auto"/>
        <w:rPr>
          <w:sz w:val="24"/>
        </w:rPr>
      </w:pPr>
      <w:r>
        <w:rPr>
          <w:rFonts w:ascii="宋体" w:hAnsi="宋体" w:eastAsia="宋体" w:cs="宋体"/>
          <w:b/>
          <w:i w:val="0"/>
          <w:spacing w:val="0"/>
          <w:sz w:val="24"/>
        </w:rPr>
        <w:t>5.3.1 硝化系统优化</w:t>
      </w:r>
    </w:p>
    <w:p w14:paraId="253AFD23">
      <w:pPr>
        <w:pageBreakBefore w:val="0"/>
        <w:wordWrap/>
        <w:spacing w:before="160" w:after="0"/>
        <w:ind w:left="0" w:right="0"/>
        <w:jc w:val="left"/>
        <w:textAlignment w:val="auto"/>
        <w:rPr>
          <w:sz w:val="24"/>
        </w:rPr>
      </w:pPr>
      <w:r>
        <w:rPr>
          <w:rFonts w:ascii="宋体" w:hAnsi="宋体" w:eastAsia="宋体" w:cs="宋体"/>
          <w:b w:val="0"/>
          <w:i w:val="0"/>
          <w:spacing w:val="0"/>
          <w:sz w:val="24"/>
        </w:rPr>
        <w:t>硝化系统优化是高级管理技术的核心，涉及菌群培养、载体选择和参数精细控制。</w:t>
      </w:r>
    </w:p>
    <w:p w14:paraId="1B34D032">
      <w:pPr>
        <w:pageBreakBefore w:val="0"/>
        <w:wordWrap/>
        <w:spacing w:before="160" w:after="0"/>
        <w:ind w:left="0" w:right="0"/>
        <w:jc w:val="left"/>
        <w:textAlignment w:val="auto"/>
        <w:rPr>
          <w:sz w:val="24"/>
        </w:rPr>
      </w:pPr>
      <w:r>
        <w:rPr>
          <w:rFonts w:ascii="宋体" w:hAnsi="宋体" w:eastAsia="宋体" w:cs="宋体"/>
          <w:b/>
          <w:i w:val="0"/>
          <w:spacing w:val="0"/>
          <w:sz w:val="24"/>
        </w:rPr>
        <w:t>硝化细菌培养与优化</w:t>
      </w:r>
      <w:r>
        <w:rPr>
          <w:rFonts w:ascii="宋体" w:hAnsi="宋体" w:eastAsia="宋体" w:cs="宋体"/>
          <w:b w:val="0"/>
          <w:i w:val="0"/>
          <w:spacing w:val="0"/>
          <w:sz w:val="24"/>
        </w:rPr>
        <w:t>：</w:t>
      </w:r>
    </w:p>
    <w:p w14:paraId="48B0E9B3">
      <w:pPr>
        <w:pageBreakBefore w:val="0"/>
        <w:numPr>
          <w:numId w:val="0"/>
        </w:numPr>
        <w:wordWrap/>
        <w:spacing w:before="160" w:after="0"/>
        <w:ind w:leftChars="0" w:right="0" w:rightChars="0"/>
        <w:jc w:val="left"/>
        <w:textAlignment w:val="auto"/>
        <w:rPr>
          <w:sz w:val="24"/>
        </w:rPr>
      </w:pPr>
      <w:r>
        <w:rPr>
          <w:rFonts w:hint="eastAsia" w:ascii="宋体" w:hAnsi="宋体" w:eastAsia="宋体" w:cs="宋体"/>
          <w:b/>
          <w:i w:val="0"/>
          <w:spacing w:val="0"/>
          <w:sz w:val="24"/>
          <w:lang w:val="en-US" w:eastAsia="zh-CN"/>
        </w:rPr>
        <w:t xml:space="preserve">① </w:t>
      </w:r>
      <w:r>
        <w:rPr>
          <w:rFonts w:ascii="宋体" w:hAnsi="宋体" w:eastAsia="宋体" w:cs="宋体"/>
          <w:b/>
          <w:i w:val="0"/>
          <w:spacing w:val="0"/>
          <w:sz w:val="24"/>
        </w:rPr>
        <w:t>菌种选择</w:t>
      </w:r>
      <w:r>
        <w:rPr>
          <w:rFonts w:ascii="宋体" w:hAnsi="宋体" w:eastAsia="宋体" w:cs="宋体"/>
          <w:b w:val="0"/>
          <w:i w:val="0"/>
          <w:spacing w:val="0"/>
          <w:sz w:val="24"/>
        </w:rPr>
        <w:t>：</w:t>
      </w:r>
    </w:p>
    <w:p w14:paraId="52633067">
      <w:pPr>
        <w:pageBreakBefore w:val="0"/>
        <w:numPr>
          <w:ilvl w:val="1"/>
          <w:numId w:val="21"/>
        </w:numPr>
        <w:wordWrap/>
        <w:spacing w:before="160" w:after="0"/>
        <w:ind w:left="880" w:right="0" w:hanging="440"/>
        <w:jc w:val="left"/>
        <w:textAlignment w:val="auto"/>
        <w:rPr>
          <w:sz w:val="24"/>
        </w:rPr>
      </w:pPr>
      <w:r>
        <w:rPr>
          <w:rFonts w:ascii="宋体" w:hAnsi="宋体" w:eastAsia="宋体" w:cs="宋体"/>
          <w:b w:val="0"/>
          <w:i w:val="0"/>
          <w:spacing w:val="0"/>
          <w:sz w:val="24"/>
        </w:rPr>
        <w:t>传统陶粒+自然富集菌：成本低，但建立时间长（2-4周）</w:t>
      </w:r>
    </w:p>
    <w:p w14:paraId="7A0D1924">
      <w:pPr>
        <w:pageBreakBefore w:val="0"/>
        <w:numPr>
          <w:ilvl w:val="1"/>
          <w:numId w:val="21"/>
        </w:numPr>
        <w:wordWrap/>
        <w:spacing w:before="160" w:after="0"/>
        <w:ind w:left="880" w:right="0" w:hanging="440"/>
        <w:jc w:val="left"/>
        <w:textAlignment w:val="auto"/>
        <w:rPr>
          <w:sz w:val="24"/>
        </w:rPr>
      </w:pPr>
      <w:r>
        <w:rPr>
          <w:rFonts w:ascii="宋体" w:hAnsi="宋体" w:eastAsia="宋体" w:cs="宋体"/>
          <w:b w:val="0"/>
          <w:i w:val="0"/>
          <w:spacing w:val="0"/>
          <w:sz w:val="24"/>
        </w:rPr>
        <w:t>包埋硝化菌球（市售）：建立时间中等（1-2周），活性较高</w:t>
      </w:r>
    </w:p>
    <w:p w14:paraId="5F36379A">
      <w:pPr>
        <w:pageBreakBefore w:val="0"/>
        <w:numPr>
          <w:ilvl w:val="1"/>
          <w:numId w:val="21"/>
        </w:numPr>
        <w:wordWrap/>
        <w:spacing w:before="160" w:after="0"/>
        <w:ind w:left="880" w:right="0" w:hanging="440"/>
        <w:jc w:val="left"/>
        <w:textAlignment w:val="auto"/>
        <w:rPr>
          <w:sz w:val="24"/>
        </w:rPr>
      </w:pPr>
      <w:r>
        <w:rPr>
          <w:rFonts w:ascii="宋体" w:hAnsi="宋体" w:eastAsia="宋体" w:cs="宋体"/>
          <w:b w:val="0"/>
          <w:i w:val="0"/>
          <w:spacing w:val="0"/>
          <w:sz w:val="24"/>
        </w:rPr>
        <w:t>流化床生物膜反应器（FBBR）：建立时间短（1周内），活性最高，但成本较高</w:t>
      </w:r>
    </w:p>
    <w:p w14:paraId="665FE0F2">
      <w:pPr>
        <w:pageBreakBefore w:val="0"/>
        <w:numPr>
          <w:numId w:val="0"/>
        </w:numPr>
        <w:wordWrap/>
        <w:spacing w:before="160" w:after="0"/>
        <w:ind w:leftChars="0" w:right="0" w:rightChars="0"/>
        <w:jc w:val="left"/>
        <w:textAlignment w:val="auto"/>
        <w:rPr>
          <w:sz w:val="24"/>
        </w:rPr>
      </w:pPr>
      <w:r>
        <w:rPr>
          <w:rFonts w:hint="eastAsia" w:ascii="宋体" w:hAnsi="宋体" w:eastAsia="宋体" w:cs="宋体"/>
          <w:b/>
          <w:i w:val="0"/>
          <w:spacing w:val="0"/>
          <w:sz w:val="24"/>
          <w:lang w:val="en-US" w:eastAsia="zh-CN"/>
        </w:rPr>
        <w:t xml:space="preserve">② </w:t>
      </w:r>
      <w:r>
        <w:rPr>
          <w:rFonts w:ascii="宋体" w:hAnsi="宋体" w:eastAsia="宋体" w:cs="宋体"/>
          <w:b/>
          <w:i w:val="0"/>
          <w:spacing w:val="0"/>
          <w:sz w:val="24"/>
        </w:rPr>
        <w:t>培养环境参数</w:t>
      </w:r>
      <w:r>
        <w:rPr>
          <w:rFonts w:ascii="宋体" w:hAnsi="宋体" w:eastAsia="宋体" w:cs="宋体"/>
          <w:b w:val="0"/>
          <w:i w:val="0"/>
          <w:spacing w:val="0"/>
          <w:sz w:val="24"/>
        </w:rPr>
        <w:t>：</w:t>
      </w:r>
    </w:p>
    <w:p w14:paraId="2217B059">
      <w:pPr>
        <w:pageBreakBefore w:val="0"/>
        <w:numPr>
          <w:ilvl w:val="1"/>
          <w:numId w:val="22"/>
        </w:numPr>
        <w:wordWrap/>
        <w:spacing w:before="160" w:after="0"/>
        <w:ind w:left="880" w:right="0" w:hanging="440"/>
        <w:jc w:val="left"/>
        <w:textAlignment w:val="auto"/>
        <w:rPr>
          <w:sz w:val="24"/>
        </w:rPr>
      </w:pPr>
      <w:r>
        <w:rPr>
          <w:rFonts w:ascii="宋体" w:hAnsi="宋体" w:eastAsia="宋体" w:cs="宋体"/>
          <w:b w:val="0"/>
          <w:i w:val="0"/>
          <w:spacing w:val="0"/>
          <w:sz w:val="24"/>
        </w:rPr>
        <w:t>温度：25-30℃（最佳）</w:t>
      </w:r>
    </w:p>
    <w:p w14:paraId="7A6ED078">
      <w:pPr>
        <w:pageBreakBefore w:val="0"/>
        <w:numPr>
          <w:ilvl w:val="1"/>
          <w:numId w:val="22"/>
        </w:numPr>
        <w:wordWrap/>
        <w:spacing w:before="160" w:after="0"/>
        <w:ind w:left="880" w:right="0" w:hanging="440"/>
        <w:jc w:val="left"/>
        <w:textAlignment w:val="auto"/>
        <w:rPr>
          <w:sz w:val="24"/>
        </w:rPr>
      </w:pPr>
      <w:r>
        <w:rPr>
          <w:rFonts w:ascii="宋体" w:hAnsi="宋体" w:eastAsia="宋体" w:cs="宋体"/>
          <w:b w:val="0"/>
          <w:i w:val="0"/>
          <w:spacing w:val="0"/>
          <w:sz w:val="24"/>
        </w:rPr>
        <w:t>pH值：7.8-8.3（硝化细菌活性最高）</w:t>
      </w:r>
    </w:p>
    <w:p w14:paraId="244E9378">
      <w:pPr>
        <w:pageBreakBefore w:val="0"/>
        <w:numPr>
          <w:ilvl w:val="1"/>
          <w:numId w:val="22"/>
        </w:numPr>
        <w:wordWrap/>
        <w:spacing w:before="160" w:after="0"/>
        <w:ind w:left="880" w:right="0" w:hanging="440"/>
        <w:jc w:val="left"/>
        <w:textAlignment w:val="auto"/>
        <w:rPr>
          <w:sz w:val="24"/>
        </w:rPr>
      </w:pPr>
      <w:r>
        <w:rPr>
          <w:rFonts w:ascii="宋体" w:hAnsi="宋体" w:eastAsia="宋体" w:cs="宋体"/>
          <w:b w:val="0"/>
          <w:i w:val="0"/>
          <w:spacing w:val="0"/>
          <w:sz w:val="24"/>
        </w:rPr>
        <w:t>溶解氧：≥7mg/L</w:t>
      </w:r>
    </w:p>
    <w:p w14:paraId="0251D0DE">
      <w:pPr>
        <w:pageBreakBefore w:val="0"/>
        <w:numPr>
          <w:ilvl w:val="1"/>
          <w:numId w:val="22"/>
        </w:numPr>
        <w:wordWrap/>
        <w:spacing w:before="160" w:after="0"/>
        <w:ind w:left="880" w:right="0" w:hanging="440"/>
        <w:jc w:val="left"/>
        <w:textAlignment w:val="auto"/>
        <w:rPr>
          <w:sz w:val="24"/>
        </w:rPr>
      </w:pPr>
      <w:r>
        <w:rPr>
          <w:rFonts w:ascii="宋体" w:hAnsi="宋体" w:eastAsia="宋体" w:cs="宋体"/>
          <w:b w:val="0"/>
          <w:i w:val="0"/>
          <w:spacing w:val="0"/>
          <w:sz w:val="24"/>
        </w:rPr>
        <w:t>氨氮浓度：初始0.1-0.2mg/L，分阶段增加</w:t>
      </w:r>
    </w:p>
    <w:p w14:paraId="28B16548">
      <w:pPr>
        <w:pageBreakBefore w:val="0"/>
        <w:wordWrap/>
        <w:spacing w:before="160" w:after="0"/>
        <w:ind w:left="0" w:right="0"/>
        <w:jc w:val="left"/>
        <w:textAlignment w:val="auto"/>
        <w:rPr>
          <w:rFonts w:ascii="宋体" w:hAnsi="宋体" w:eastAsia="宋体" w:cs="宋体"/>
          <w:b/>
          <w:i w:val="0"/>
          <w:spacing w:val="0"/>
          <w:sz w:val="24"/>
        </w:rPr>
      </w:pPr>
    </w:p>
    <w:p w14:paraId="00160C92">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 xml:space="preserve">③ </w:t>
      </w:r>
      <w:r>
        <w:rPr>
          <w:rFonts w:ascii="宋体" w:hAnsi="宋体" w:eastAsia="宋体" w:cs="宋体"/>
          <w:b/>
          <w:i w:val="0"/>
          <w:spacing w:val="0"/>
          <w:sz w:val="24"/>
        </w:rPr>
        <w:t>硝化系统故障处理</w:t>
      </w:r>
      <w:r>
        <w:rPr>
          <w:rFonts w:ascii="宋体" w:hAnsi="宋体" w:eastAsia="宋体" w:cs="宋体"/>
          <w:b w:val="0"/>
          <w:i w:val="0"/>
          <w:spacing w:val="0"/>
          <w:sz w:val="24"/>
        </w:rPr>
        <w:t>：</w:t>
      </w:r>
    </w:p>
    <w:p w14:paraId="578FAABD">
      <w:pPr>
        <w:pageBreakBefore w:val="0"/>
        <w:wordWrap/>
        <w:spacing w:before="160" w:after="0"/>
        <w:ind w:left="0" w:right="0"/>
        <w:jc w:val="left"/>
        <w:textAlignment w:val="auto"/>
        <w:rPr>
          <w:sz w:val="24"/>
        </w:rPr>
      </w:pPr>
      <w:r>
        <w:rPr>
          <w:rFonts w:ascii="宋体" w:hAnsi="宋体" w:eastAsia="宋体" w:cs="宋体"/>
          <w:b w:val="0"/>
          <w:i w:val="0"/>
          <w:spacing w:val="0"/>
          <w:sz w:val="24"/>
        </w:rPr>
        <w:t>硝化系统崩溃的常见原因包括</w:t>
      </w:r>
      <w:r>
        <w:rPr>
          <w:rFonts w:ascii="宋体" w:hAnsi="宋体" w:eastAsia="宋体" w:cs="宋体"/>
          <w:b/>
          <w:bCs/>
          <w:i w:val="0"/>
          <w:spacing w:val="0"/>
          <w:sz w:val="24"/>
          <w:u w:val="single"/>
        </w:rPr>
        <w:t>过度清洁、换水不当和氨氮冲击</w:t>
      </w:r>
      <w:r>
        <w:rPr>
          <w:rFonts w:ascii="宋体" w:hAnsi="宋体" w:eastAsia="宋体" w:cs="宋体"/>
          <w:b w:val="0"/>
          <w:i w:val="0"/>
          <w:spacing w:val="0"/>
          <w:sz w:val="24"/>
        </w:rPr>
        <w:t>：</w:t>
      </w:r>
    </w:p>
    <w:p w14:paraId="4CCE1244">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过度清洁</w:t>
      </w:r>
      <w:r>
        <w:rPr>
          <w:rFonts w:ascii="宋体" w:hAnsi="宋体" w:eastAsia="宋体" w:cs="宋体"/>
          <w:b w:val="0"/>
          <w:i w:val="0"/>
          <w:spacing w:val="0"/>
          <w:sz w:val="24"/>
        </w:rPr>
        <w:t>：频繁清洗生物滤材会破坏生物膜，建议使用原缸水轻柔冲洗，保留部分菌群。</w:t>
      </w:r>
    </w:p>
    <w:p w14:paraId="0F3B9459">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换水不当</w:t>
      </w:r>
      <w:r>
        <w:rPr>
          <w:rFonts w:ascii="宋体" w:hAnsi="宋体" w:eastAsia="宋体" w:cs="宋体"/>
          <w:b w:val="0"/>
          <w:i w:val="0"/>
          <w:spacing w:val="0"/>
          <w:sz w:val="24"/>
        </w:rPr>
        <w:t>：大量换水或使用未困水会导致pH和温度剧烈波动，破坏硝化细菌活性。</w:t>
      </w:r>
    </w:p>
    <w:p w14:paraId="54287E8F">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氨氮冲击</w:t>
      </w:r>
      <w:r>
        <w:rPr>
          <w:rFonts w:ascii="宋体" w:hAnsi="宋体" w:eastAsia="宋体" w:cs="宋体"/>
          <w:b w:val="0"/>
          <w:i w:val="0"/>
          <w:spacing w:val="0"/>
          <w:sz w:val="24"/>
        </w:rPr>
        <w:t>：喂食过量或生物密度过高会导致氨氮瞬时超标，建议分阶段增加生物密度，每3-5天增加1-2尾。</w:t>
      </w:r>
    </w:p>
    <w:p w14:paraId="0603B3AE">
      <w:pPr>
        <w:pageBreakBefore w:val="0"/>
        <w:wordWrap/>
        <w:spacing w:before="160" w:after="0"/>
        <w:ind w:left="0" w:right="0"/>
        <w:jc w:val="left"/>
        <w:textAlignment w:val="auto"/>
        <w:rPr>
          <w:rFonts w:ascii="宋体" w:hAnsi="宋体" w:eastAsia="宋体" w:cs="宋体"/>
          <w:b/>
          <w:i w:val="0"/>
          <w:spacing w:val="0"/>
          <w:sz w:val="24"/>
        </w:rPr>
      </w:pPr>
    </w:p>
    <w:p w14:paraId="12F0BE91">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 xml:space="preserve">④ </w:t>
      </w:r>
      <w:r>
        <w:rPr>
          <w:rFonts w:ascii="宋体" w:hAnsi="宋体" w:eastAsia="宋体" w:cs="宋体"/>
          <w:b/>
          <w:i w:val="0"/>
          <w:spacing w:val="0"/>
          <w:sz w:val="24"/>
        </w:rPr>
        <w:t>硝化系统稳定性提升技术</w:t>
      </w:r>
      <w:r>
        <w:rPr>
          <w:rFonts w:ascii="宋体" w:hAnsi="宋体" w:eastAsia="宋体" w:cs="宋体"/>
          <w:b w:val="0"/>
          <w:i w:val="0"/>
          <w:spacing w:val="0"/>
          <w:sz w:val="24"/>
        </w:rPr>
        <w:t>：</w:t>
      </w:r>
    </w:p>
    <w:p w14:paraId="3B04E018">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硝化细菌增殖培养</w:t>
      </w:r>
      <w:r>
        <w:rPr>
          <w:rFonts w:ascii="宋体" w:hAnsi="宋体" w:eastAsia="宋体" w:cs="宋体"/>
          <w:b w:val="0"/>
          <w:i w:val="0"/>
          <w:spacing w:val="0"/>
          <w:sz w:val="24"/>
        </w:rPr>
        <w:t>：在隔离缸中培养高浓度硝化细菌，定期补充至主缸</w:t>
      </w:r>
    </w:p>
    <w:p w14:paraId="441EBEF8">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硝化载体优化</w:t>
      </w:r>
      <w:r>
        <w:rPr>
          <w:rFonts w:ascii="宋体" w:hAnsi="宋体" w:eastAsia="宋体" w:cs="宋体"/>
          <w:b w:val="0"/>
          <w:i w:val="0"/>
          <w:spacing w:val="0"/>
          <w:sz w:val="24"/>
        </w:rPr>
        <w:t>：选择高比表面积、多孔隙的生物滤材，如陶瓷环、细菌屋等</w:t>
      </w:r>
    </w:p>
    <w:p w14:paraId="2D49C7A7">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硝化系统冗余设计</w:t>
      </w:r>
      <w:r>
        <w:rPr>
          <w:rFonts w:ascii="宋体" w:hAnsi="宋体" w:eastAsia="宋体" w:cs="宋体"/>
          <w:b w:val="0"/>
          <w:i w:val="0"/>
          <w:spacing w:val="0"/>
          <w:sz w:val="24"/>
        </w:rPr>
        <w:t>：大型缸可配置双系统，一用一备，确保系统稳定性</w:t>
      </w:r>
    </w:p>
    <w:p w14:paraId="3AA7FBA9">
      <w:pPr>
        <w:pageBreakBefore w:val="0"/>
        <w:wordWrap/>
        <w:spacing w:before="160" w:after="0"/>
        <w:ind w:left="0" w:right="0"/>
        <w:jc w:val="left"/>
        <w:textAlignment w:val="auto"/>
        <w:rPr>
          <w:rFonts w:ascii="宋体" w:hAnsi="宋体" w:eastAsia="宋体" w:cs="宋体"/>
          <w:b/>
          <w:i w:val="0"/>
          <w:spacing w:val="0"/>
          <w:sz w:val="24"/>
        </w:rPr>
      </w:pPr>
    </w:p>
    <w:p w14:paraId="3B5D9A11">
      <w:pPr>
        <w:pageBreakBefore w:val="0"/>
        <w:wordWrap/>
        <w:spacing w:before="160" w:after="0"/>
        <w:ind w:left="0" w:right="0"/>
        <w:jc w:val="left"/>
        <w:textAlignment w:val="auto"/>
        <w:rPr>
          <w:sz w:val="24"/>
        </w:rPr>
      </w:pPr>
      <w:r>
        <w:rPr>
          <w:rFonts w:ascii="宋体" w:hAnsi="宋体" w:eastAsia="宋体" w:cs="宋体"/>
          <w:b/>
          <w:i w:val="0"/>
          <w:spacing w:val="0"/>
          <w:sz w:val="24"/>
        </w:rPr>
        <w:t>5.3.2 水草繁殖与品种改良</w:t>
      </w:r>
    </w:p>
    <w:p w14:paraId="0DAA7F25">
      <w:pPr>
        <w:pageBreakBefore w:val="0"/>
        <w:wordWrap/>
        <w:spacing w:before="160" w:after="0"/>
        <w:ind w:left="0" w:right="0"/>
        <w:jc w:val="left"/>
        <w:textAlignment w:val="auto"/>
        <w:rPr>
          <w:sz w:val="24"/>
        </w:rPr>
      </w:pPr>
      <w:r>
        <w:rPr>
          <w:rFonts w:ascii="宋体" w:hAnsi="宋体" w:eastAsia="宋体" w:cs="宋体"/>
          <w:b w:val="0"/>
          <w:i w:val="0"/>
          <w:spacing w:val="0"/>
          <w:sz w:val="24"/>
        </w:rPr>
        <w:t>水草繁殖与品种改良是高级造景师的核心技能，能显著降低成本并提升造景效果。</w:t>
      </w:r>
    </w:p>
    <w:p w14:paraId="1900ED9E">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 xml:space="preserve">① </w:t>
      </w:r>
      <w:r>
        <w:rPr>
          <w:rFonts w:ascii="宋体" w:hAnsi="宋体" w:eastAsia="宋体" w:cs="宋体"/>
          <w:b/>
          <w:i w:val="0"/>
          <w:spacing w:val="0"/>
          <w:sz w:val="24"/>
        </w:rPr>
        <w:t>水草繁殖方法</w:t>
      </w:r>
      <w:r>
        <w:rPr>
          <w:rFonts w:ascii="宋体" w:hAnsi="宋体" w:eastAsia="宋体" w:cs="宋体"/>
          <w:b w:val="0"/>
          <w:i w:val="0"/>
          <w:spacing w:val="0"/>
          <w:sz w:val="24"/>
        </w:rPr>
        <w:t>：</w:t>
      </w:r>
    </w:p>
    <w:p w14:paraId="009A925E">
      <w:pPr>
        <w:pageBreakBefore w:val="0"/>
        <w:numPr>
          <w:numId w:val="0"/>
        </w:numPr>
        <w:wordWrap/>
        <w:spacing w:before="160" w:after="0" w:line="360" w:lineRule="auto"/>
        <w:ind w:leftChars="0" w:right="0" w:rightChars="0" w:firstLine="482" w:firstLineChars="200"/>
        <w:jc w:val="left"/>
        <w:textAlignment w:val="auto"/>
        <w:rPr>
          <w:rFonts w:hint="eastAsia" w:eastAsia="宋体"/>
          <w:sz w:val="24"/>
          <w:lang w:eastAsia="zh-CN"/>
        </w:rPr>
      </w:pPr>
      <w:r>
        <w:rPr>
          <w:rFonts w:ascii="宋体" w:hAnsi="宋体" w:eastAsia="宋体" w:cs="宋体"/>
          <w:b/>
          <w:i w:val="0"/>
          <w:spacing w:val="0"/>
          <w:sz w:val="24"/>
        </w:rPr>
        <w:t>分株繁殖</w:t>
      </w:r>
      <w:r>
        <w:rPr>
          <w:rFonts w:ascii="宋体" w:hAnsi="宋体" w:eastAsia="宋体" w:cs="宋体"/>
          <w:b w:val="0"/>
          <w:i w:val="0"/>
          <w:spacing w:val="0"/>
          <w:sz w:val="24"/>
        </w:rPr>
        <w:t>：适用于丛生型水草（如莫斯、鹿角苔），将生长旺盛的植株分株移植</w:t>
      </w:r>
    </w:p>
    <w:p w14:paraId="517F50E5">
      <w:pPr>
        <w:pageBreakBefore w:val="0"/>
        <w:numPr>
          <w:numId w:val="0"/>
        </w:numPr>
        <w:wordWrap/>
        <w:spacing w:before="160" w:after="0" w:line="360" w:lineRule="auto"/>
        <w:ind w:leftChars="0" w:right="0" w:rightChars="0" w:firstLine="482" w:firstLineChars="200"/>
        <w:jc w:val="left"/>
        <w:textAlignment w:val="auto"/>
        <w:rPr>
          <w:rFonts w:hint="eastAsia" w:eastAsia="宋体"/>
          <w:sz w:val="24"/>
          <w:lang w:eastAsia="zh-CN"/>
        </w:rPr>
      </w:pPr>
      <w:r>
        <w:rPr>
          <w:rFonts w:ascii="宋体" w:hAnsi="宋体" w:eastAsia="宋体" w:cs="宋体"/>
          <w:b/>
          <w:i w:val="0"/>
          <w:spacing w:val="0"/>
          <w:sz w:val="24"/>
        </w:rPr>
        <w:t>侧芽繁殖</w:t>
      </w:r>
      <w:r>
        <w:rPr>
          <w:rFonts w:ascii="宋体" w:hAnsi="宋体" w:eastAsia="宋体" w:cs="宋体"/>
          <w:b w:val="0"/>
          <w:i w:val="0"/>
          <w:spacing w:val="0"/>
          <w:sz w:val="24"/>
        </w:rPr>
        <w:t>：适用于有侧芽的水草（如小水兰、迷你矮珍珠），将侧芽剪下单独种植</w:t>
      </w:r>
    </w:p>
    <w:p w14:paraId="442160FA">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种子繁殖</w:t>
      </w:r>
      <w:r>
        <w:rPr>
          <w:rFonts w:ascii="宋体" w:hAnsi="宋体" w:eastAsia="宋体" w:cs="宋体"/>
          <w:b w:val="0"/>
          <w:i w:val="0"/>
          <w:spacing w:val="0"/>
          <w:sz w:val="24"/>
        </w:rPr>
        <w:t>：适用于结籽水草（如水芹、蜈蚣草），需控制温度和光照条件</w:t>
      </w:r>
    </w:p>
    <w:p w14:paraId="529B6227">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无性繁殖</w:t>
      </w:r>
      <w:r>
        <w:rPr>
          <w:rFonts w:ascii="宋体" w:hAnsi="宋体" w:eastAsia="宋体" w:cs="宋体"/>
          <w:b w:val="0"/>
          <w:i w:val="0"/>
          <w:spacing w:val="0"/>
          <w:sz w:val="24"/>
        </w:rPr>
        <w:t>：适用于特定品种（如宫廷草、迷你雪花），通过茎部切割促进新芽生长</w:t>
      </w:r>
    </w:p>
    <w:p w14:paraId="5E1F1AD8">
      <w:pPr>
        <w:pageBreakBefore w:val="0"/>
        <w:wordWrap/>
        <w:spacing w:before="160" w:after="0"/>
        <w:ind w:left="0" w:right="0"/>
        <w:jc w:val="left"/>
        <w:textAlignment w:val="auto"/>
        <w:rPr>
          <w:rFonts w:ascii="宋体" w:hAnsi="宋体" w:eastAsia="宋体" w:cs="宋体"/>
          <w:b/>
          <w:i w:val="0"/>
          <w:spacing w:val="0"/>
          <w:sz w:val="24"/>
        </w:rPr>
      </w:pPr>
    </w:p>
    <w:p w14:paraId="2B5CF444">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 xml:space="preserve">② </w:t>
      </w:r>
      <w:r>
        <w:rPr>
          <w:rFonts w:ascii="宋体" w:hAnsi="宋体" w:eastAsia="宋体" w:cs="宋体"/>
          <w:b/>
          <w:i w:val="0"/>
          <w:spacing w:val="0"/>
          <w:sz w:val="24"/>
        </w:rPr>
        <w:t>水草品种改良技术</w:t>
      </w:r>
      <w:r>
        <w:rPr>
          <w:rFonts w:ascii="宋体" w:hAnsi="宋体" w:eastAsia="宋体" w:cs="宋体"/>
          <w:b w:val="0"/>
          <w:i w:val="0"/>
          <w:spacing w:val="0"/>
          <w:sz w:val="24"/>
        </w:rPr>
        <w:t>：</w:t>
      </w:r>
    </w:p>
    <w:p w14:paraId="68F26617">
      <w:pPr>
        <w:pageBreakBefore w:val="0"/>
        <w:wordWrap/>
        <w:spacing w:before="160" w:after="0"/>
        <w:ind w:left="0" w:right="0"/>
        <w:jc w:val="left"/>
        <w:textAlignment w:val="auto"/>
        <w:rPr>
          <w:sz w:val="24"/>
        </w:rPr>
      </w:pPr>
      <w:r>
        <w:rPr>
          <w:rFonts w:ascii="宋体" w:hAnsi="宋体" w:eastAsia="宋体" w:cs="宋体"/>
          <w:b w:val="0"/>
          <w:i w:val="0"/>
          <w:spacing w:val="0"/>
          <w:sz w:val="24"/>
        </w:rPr>
        <w:t>水草品种改良主要通过以下途径实现：</w:t>
      </w:r>
    </w:p>
    <w:p w14:paraId="5CA98C2E">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环境诱导</w:t>
      </w:r>
      <w:r>
        <w:rPr>
          <w:rFonts w:ascii="宋体" w:hAnsi="宋体" w:eastAsia="宋体" w:cs="宋体"/>
          <w:b w:val="0"/>
          <w:i w:val="0"/>
          <w:spacing w:val="0"/>
          <w:sz w:val="24"/>
        </w:rPr>
        <w:t>：通过调整光照强度、CO₂浓度和营养比例，诱导水草颜色变化（如红宫廷草的红色素表达）</w:t>
      </w:r>
    </w:p>
    <w:p w14:paraId="5F3125AA">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基因编辑</w:t>
      </w:r>
      <w:r>
        <w:rPr>
          <w:rFonts w:ascii="宋体" w:hAnsi="宋体" w:eastAsia="宋体" w:cs="宋体"/>
          <w:b w:val="0"/>
          <w:i w:val="0"/>
          <w:spacing w:val="0"/>
          <w:sz w:val="24"/>
        </w:rPr>
        <w:t>：通过CRISPR技术修改水草基因，培育出更适应水族环境的品种（如耐低光、耐高温品种）</w:t>
      </w:r>
    </w:p>
    <w:p w14:paraId="392E03A2">
      <w:pPr>
        <w:pageBreakBefore w:val="0"/>
        <w:numPr>
          <w:numId w:val="0"/>
        </w:numPr>
        <w:wordWrap/>
        <w:spacing w:before="160" w:after="0" w:line="360" w:lineRule="auto"/>
        <w:ind w:leftChars="0" w:right="0" w:rightChars="0" w:firstLine="482" w:firstLineChars="200"/>
        <w:jc w:val="left"/>
        <w:textAlignment w:val="auto"/>
        <w:rPr>
          <w:sz w:val="24"/>
        </w:rPr>
      </w:pPr>
      <w:r>
        <w:rPr>
          <w:rFonts w:ascii="宋体" w:hAnsi="宋体" w:eastAsia="宋体" w:cs="宋体"/>
          <w:b/>
          <w:i w:val="0"/>
          <w:spacing w:val="0"/>
          <w:sz w:val="24"/>
        </w:rPr>
        <w:t>杂交育种</w:t>
      </w:r>
      <w:r>
        <w:rPr>
          <w:rFonts w:ascii="宋体" w:hAnsi="宋体" w:eastAsia="宋体" w:cs="宋体"/>
          <w:b w:val="0"/>
          <w:i w:val="0"/>
          <w:spacing w:val="0"/>
          <w:sz w:val="24"/>
        </w:rPr>
        <w:t>：通过不同品种水草的杂交，培育出兼具美观与易养特性的新品种</w:t>
      </w:r>
    </w:p>
    <w:p w14:paraId="39335595">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：李爽2022年IAPLC获奖作品《咆哮》采用</w:t>
      </w:r>
      <w:r>
        <w:rPr>
          <w:rFonts w:ascii="宋体" w:hAnsi="宋体" w:eastAsia="宋体" w:cs="宋体"/>
          <w:b/>
          <w:i w:val="0"/>
          <w:spacing w:val="0"/>
          <w:sz w:val="24"/>
        </w:rPr>
        <w:t>珊瑚莫斯+迷你水兰</w:t>
      </w:r>
      <w:r>
        <w:rPr>
          <w:rFonts w:ascii="宋体" w:hAnsi="宋体" w:eastAsia="宋体" w:cs="宋体"/>
          <w:b w:val="0"/>
          <w:i w:val="0"/>
          <w:spacing w:val="0"/>
          <w:sz w:val="24"/>
        </w:rPr>
        <w:t>组合，通过精准控制CO₂浓度（15-20ppm）和光照强度（6W/L），实现了水草的快速生长与美观形态，成为高级水草管理技术的典范。</w:t>
      </w:r>
    </w:p>
    <w:p w14:paraId="41FD7799">
      <w:pPr>
        <w:pageBreakBefore w:val="0"/>
        <w:wordWrap/>
        <w:spacing w:before="160" w:after="0"/>
        <w:ind w:left="0" w:right="0"/>
        <w:jc w:val="left"/>
        <w:textAlignment w:val="auto"/>
        <w:rPr>
          <w:rFonts w:ascii="宋体" w:hAnsi="宋体" w:eastAsia="宋体" w:cs="宋体"/>
          <w:b/>
          <w:i w:val="0"/>
          <w:spacing w:val="0"/>
          <w:sz w:val="24"/>
        </w:rPr>
      </w:pPr>
    </w:p>
    <w:p w14:paraId="1B827422">
      <w:pPr>
        <w:pageBreakBefore w:val="0"/>
        <w:wordWrap/>
        <w:spacing w:before="160" w:after="0"/>
        <w:ind w:left="0" w:right="0"/>
        <w:jc w:val="left"/>
        <w:textAlignment w:val="auto"/>
        <w:rPr>
          <w:sz w:val="24"/>
        </w:rPr>
      </w:pPr>
      <w:r>
        <w:rPr>
          <w:rFonts w:ascii="宋体" w:hAnsi="宋体" w:eastAsia="宋体" w:cs="宋体"/>
          <w:b/>
          <w:i w:val="0"/>
          <w:spacing w:val="0"/>
          <w:sz w:val="24"/>
        </w:rPr>
        <w:t>5.3.3 生物多样性的动态平衡</w:t>
      </w:r>
    </w:p>
    <w:p w14:paraId="1486F5F7">
      <w:pPr>
        <w:pageBreakBefore w:val="0"/>
        <w:wordWrap/>
        <w:spacing w:before="160" w:after="0"/>
        <w:ind w:left="0" w:right="0"/>
        <w:jc w:val="left"/>
        <w:textAlignment w:val="auto"/>
        <w:rPr>
          <w:sz w:val="24"/>
        </w:rPr>
      </w:pPr>
      <w:r>
        <w:rPr>
          <w:rFonts w:ascii="宋体" w:hAnsi="宋体" w:eastAsia="宋体" w:cs="宋体"/>
          <w:b w:val="0"/>
          <w:i w:val="0"/>
          <w:spacing w:val="0"/>
          <w:sz w:val="24"/>
        </w:rPr>
        <w:t>生物多样性动态平衡是高级造景的核心挑战，需在美观与生态稳定间找到最佳平衡点。</w:t>
      </w:r>
    </w:p>
    <w:p w14:paraId="6A9DDA27">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 xml:space="preserve">① </w:t>
      </w:r>
      <w:r>
        <w:rPr>
          <w:rFonts w:ascii="宋体" w:hAnsi="宋体" w:eastAsia="宋体" w:cs="宋体"/>
          <w:b/>
          <w:i w:val="0"/>
          <w:spacing w:val="0"/>
          <w:sz w:val="24"/>
        </w:rPr>
        <w:t>生物群落设计原则</w:t>
      </w:r>
      <w:r>
        <w:rPr>
          <w:rFonts w:ascii="宋体" w:hAnsi="宋体" w:eastAsia="宋体" w:cs="宋体"/>
          <w:b w:val="0"/>
          <w:i w:val="0"/>
          <w:spacing w:val="0"/>
          <w:sz w:val="24"/>
        </w:rPr>
        <w:t>：</w:t>
      </w:r>
    </w:p>
    <w:p w14:paraId="2820ADA7">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三层结构</w:t>
      </w:r>
      <w:r>
        <w:rPr>
          <w:rFonts w:ascii="宋体" w:hAnsi="宋体" w:eastAsia="宋体" w:cs="宋体"/>
          <w:b w:val="0"/>
          <w:i w:val="0"/>
          <w:spacing w:val="0"/>
          <w:sz w:val="24"/>
        </w:rPr>
        <w:t>：生产者（水草）、消费者（鱼类）、分解者（微生物）</w:t>
      </w:r>
    </w:p>
    <w:p w14:paraId="26D2762D">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比例控制</w:t>
      </w:r>
      <w:r>
        <w:rPr>
          <w:rFonts w:ascii="宋体" w:hAnsi="宋体" w:eastAsia="宋体" w:cs="宋体"/>
          <w:b w:val="0"/>
          <w:i w:val="0"/>
          <w:spacing w:val="0"/>
          <w:sz w:val="24"/>
        </w:rPr>
        <w:t>：生产者：消费者：分解者 = 80%:15%:5%（理想比例）</w:t>
      </w:r>
    </w:p>
    <w:p w14:paraId="74D3EC9E">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功能互补</w:t>
      </w:r>
      <w:r>
        <w:rPr>
          <w:rFonts w:ascii="宋体" w:hAnsi="宋体" w:eastAsia="宋体" w:cs="宋体"/>
          <w:b w:val="0"/>
          <w:i w:val="0"/>
          <w:spacing w:val="0"/>
          <w:sz w:val="24"/>
        </w:rPr>
        <w:t>：不同生物承担不同生态功能，形成互补</w:t>
      </w:r>
    </w:p>
    <w:p w14:paraId="4A541538">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 xml:space="preserve">② </w:t>
      </w:r>
      <w:r>
        <w:rPr>
          <w:rFonts w:ascii="宋体" w:hAnsi="宋体" w:eastAsia="宋体" w:cs="宋体"/>
          <w:b/>
          <w:i w:val="0"/>
          <w:spacing w:val="0"/>
          <w:sz w:val="24"/>
        </w:rPr>
        <w:t>生物多样性管理技术</w:t>
      </w:r>
      <w:r>
        <w:rPr>
          <w:rFonts w:ascii="宋体" w:hAnsi="宋体" w:eastAsia="宋体" w:cs="宋体"/>
          <w:b w:val="0"/>
          <w:i w:val="0"/>
          <w:spacing w:val="0"/>
          <w:sz w:val="24"/>
        </w:rPr>
        <w:t>：</w:t>
      </w:r>
    </w:p>
    <w:p w14:paraId="4E4E0EF5">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生物引入顺序</w:t>
      </w:r>
      <w:r>
        <w:rPr>
          <w:rFonts w:ascii="宋体" w:hAnsi="宋体" w:eastAsia="宋体" w:cs="宋体"/>
          <w:b w:val="0"/>
          <w:i w:val="0"/>
          <w:spacing w:val="0"/>
          <w:sz w:val="24"/>
        </w:rPr>
        <w:t>：遵循"螺类→虾类→鱼类"的顺序，先建立微生物群落再引入鱼类，降低系统冲击</w:t>
      </w:r>
    </w:p>
    <w:p w14:paraId="668FDD2A">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生物密度动态调整</w:t>
      </w:r>
      <w:r>
        <w:rPr>
          <w:rFonts w:ascii="宋体" w:hAnsi="宋体" w:eastAsia="宋体" w:cs="宋体"/>
          <w:b w:val="0"/>
          <w:i w:val="0"/>
          <w:spacing w:val="0"/>
          <w:sz w:val="24"/>
        </w:rPr>
        <w:t>：根据季节变化和水草生长状态，动态调整生物密度</w:t>
      </w:r>
    </w:p>
    <w:p w14:paraId="05557CE1">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生物健康监测</w:t>
      </w:r>
      <w:r>
        <w:rPr>
          <w:rFonts w:ascii="宋体" w:hAnsi="宋体" w:eastAsia="宋体" w:cs="宋体"/>
          <w:b w:val="0"/>
          <w:i w:val="0"/>
          <w:spacing w:val="0"/>
          <w:sz w:val="24"/>
        </w:rPr>
        <w:t>：建立生物健康档案，定期评估生长状态与行为表现</w:t>
      </w:r>
    </w:p>
    <w:p w14:paraId="03BBD3FB">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案例警示</w:t>
      </w:r>
      <w:r>
        <w:rPr>
          <w:rFonts w:ascii="宋体" w:hAnsi="宋体" w:eastAsia="宋体" w:cs="宋体"/>
          <w:b w:val="0"/>
          <w:i w:val="0"/>
          <w:spacing w:val="0"/>
          <w:sz w:val="24"/>
        </w:rPr>
        <w:t>：2023年，一位爱好者因同时引入大量鱼类和水草，导致生物密度超标，系统崩溃。这表明**"生物引入需循序渐进，不可一步到位"**。理想做法是：先引入少量鱼类（如1-2尾/100L），观察水质稳定后再逐步增加。</w:t>
      </w:r>
    </w:p>
    <w:p w14:paraId="340DA417">
      <w:pPr>
        <w:pageBreakBefore w:val="0"/>
        <w:wordWrap/>
        <w:spacing w:before="160" w:after="0"/>
        <w:ind w:left="0" w:right="0"/>
        <w:jc w:val="left"/>
        <w:textAlignment w:val="auto"/>
        <w:rPr>
          <w:rFonts w:ascii="宋体" w:hAnsi="宋体" w:eastAsia="宋体" w:cs="宋体"/>
          <w:b/>
          <w:i w:val="0"/>
          <w:spacing w:val="0"/>
          <w:sz w:val="36"/>
        </w:rPr>
      </w:pPr>
    </w:p>
    <w:p w14:paraId="575CD533">
      <w:pPr>
        <w:pageBreakBefore w:val="0"/>
        <w:wordWrap/>
        <w:spacing w:before="160" w:after="0"/>
        <w:ind w:left="0" w:right="0"/>
        <w:jc w:val="left"/>
        <w:textAlignment w:val="auto"/>
        <w:rPr>
          <w:sz w:val="36"/>
        </w:rPr>
      </w:pPr>
      <w:r>
        <w:rPr>
          <w:rFonts w:ascii="宋体" w:hAnsi="宋体" w:eastAsia="宋体" w:cs="宋体"/>
          <w:b/>
          <w:i w:val="0"/>
          <w:spacing w:val="0"/>
          <w:sz w:val="36"/>
        </w:rPr>
        <w:t>6 维护与管理</w:t>
      </w:r>
    </w:p>
    <w:p w14:paraId="68836A51">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水族造景的维护与管理是决定作品持久生命力与艺术价值的关键环节。</w:t>
      </w:r>
      <w:r>
        <w:rPr>
          <w:rFonts w:ascii="宋体" w:hAnsi="宋体" w:eastAsia="宋体" w:cs="宋体"/>
          <w:b/>
          <w:i w:val="0"/>
          <w:spacing w:val="0"/>
          <w:sz w:val="24"/>
        </w:rPr>
        <w:t>成功的维护不仅需要科学的方法，还需要艺术的审美，确保生态稳定与视觉美感的双重实现</w:t>
      </w:r>
      <w:r>
        <w:rPr>
          <w:rFonts w:ascii="宋体" w:hAnsi="宋体" w:eastAsia="宋体" w:cs="宋体"/>
          <w:b w:val="0"/>
          <w:i w:val="0"/>
          <w:spacing w:val="0"/>
          <w:sz w:val="24"/>
        </w:rPr>
        <w:t>。本章将通过国际经典案例分析、不同风格的实践应用，以及案例总结与启示，深入探讨水族造景维护管理的艺术与科学。</w:t>
      </w:r>
    </w:p>
    <w:p w14:paraId="7944F408">
      <w:pPr>
        <w:pageBreakBefore w:val="0"/>
        <w:wordWrap/>
        <w:spacing w:before="160" w:after="0"/>
        <w:ind w:left="0" w:right="0"/>
        <w:jc w:val="left"/>
        <w:textAlignment w:val="auto"/>
        <w:rPr>
          <w:sz w:val="28"/>
        </w:rPr>
      </w:pPr>
      <w:r>
        <w:rPr>
          <w:rFonts w:ascii="宋体" w:hAnsi="宋体" w:eastAsia="宋体" w:cs="宋体"/>
          <w:b/>
          <w:i w:val="0"/>
          <w:spacing w:val="0"/>
          <w:sz w:val="28"/>
        </w:rPr>
        <w:t>6.1 国际经典案例</w:t>
      </w:r>
    </w:p>
    <w:p w14:paraId="562CF9E6">
      <w:pPr>
        <w:pageBreakBefore w:val="0"/>
        <w:wordWrap/>
        <w:spacing w:before="160" w:after="0"/>
        <w:ind w:left="0" w:right="0"/>
        <w:jc w:val="left"/>
        <w:textAlignment w:val="auto"/>
        <w:rPr>
          <w:sz w:val="24"/>
        </w:rPr>
      </w:pPr>
      <w:r>
        <w:rPr>
          <w:rFonts w:ascii="宋体" w:hAnsi="宋体" w:eastAsia="宋体" w:cs="宋体"/>
          <w:b w:val="0"/>
          <w:i w:val="0"/>
          <w:spacing w:val="0"/>
          <w:sz w:val="24"/>
        </w:rPr>
        <w:t>国际经典案例代表了水族造景维护管理的最高水平，通过对其设计思路、维护策略和成功经验的分析，可为爱好者提供宝贵借鉴。</w:t>
      </w:r>
    </w:p>
    <w:p w14:paraId="43E81C22">
      <w:pPr>
        <w:pageBreakBefore w:val="0"/>
        <w:wordWrap/>
        <w:spacing w:before="160" w:after="0"/>
        <w:ind w:left="0" w:right="0"/>
        <w:jc w:val="left"/>
        <w:textAlignment w:val="auto"/>
        <w:rPr>
          <w:sz w:val="24"/>
        </w:rPr>
      </w:pPr>
      <w:r>
        <w:rPr>
          <w:rFonts w:ascii="宋体" w:hAnsi="宋体" w:eastAsia="宋体" w:cs="宋体"/>
          <w:b/>
          <w:i w:val="0"/>
          <w:spacing w:val="0"/>
          <w:sz w:val="24"/>
        </w:rPr>
        <w:t>6.1.1 ADA大赛获奖作品解析</w:t>
      </w:r>
    </w:p>
    <w:p w14:paraId="4CF57BE7">
      <w:pPr>
        <w:pageBreakBefore w:val="0"/>
        <w:wordWrap/>
        <w:spacing w:before="160" w:after="0"/>
        <w:ind w:left="0" w:right="0"/>
        <w:jc w:val="left"/>
        <w:textAlignment w:val="auto"/>
        <w:rPr>
          <w:sz w:val="24"/>
        </w:rPr>
      </w:pPr>
      <w:r>
        <w:rPr>
          <w:rFonts w:ascii="宋体" w:hAnsi="宋体" w:eastAsia="宋体" w:cs="宋体"/>
          <w:b w:val="0"/>
          <w:i w:val="0"/>
          <w:spacing w:val="0"/>
          <w:sz w:val="24"/>
        </w:rPr>
        <w:t>ADA大赛获奖作品代表了水族造景维护管理的最高标准，其核心在于</w:t>
      </w:r>
      <w:r>
        <w:rPr>
          <w:rFonts w:ascii="宋体" w:hAnsi="宋体" w:eastAsia="宋体" w:cs="宋体"/>
          <w:b/>
          <w:i w:val="0"/>
          <w:spacing w:val="0"/>
          <w:sz w:val="24"/>
        </w:rPr>
        <w:t>生态与美学的完美平衡</w:t>
      </w:r>
      <w:r>
        <w:rPr>
          <w:rFonts w:ascii="宋体" w:hAnsi="宋体" w:eastAsia="宋体" w:cs="宋体"/>
          <w:b w:val="0"/>
          <w:i w:val="0"/>
          <w:spacing w:val="0"/>
          <w:sz w:val="24"/>
        </w:rPr>
        <w:t>。</w:t>
      </w:r>
    </w:p>
    <w:p w14:paraId="7A3F414A">
      <w:pPr>
        <w:pageBreakBefore w:val="0"/>
        <w:wordWrap/>
        <w:spacing w:before="160" w:after="0"/>
        <w:ind w:left="0" w:right="0"/>
        <w:jc w:val="left"/>
        <w:textAlignment w:val="auto"/>
        <w:rPr>
          <w:rFonts w:ascii="宋体" w:hAnsi="宋体" w:eastAsia="宋体" w:cs="宋体"/>
          <w:b/>
          <w:i w:val="0"/>
          <w:spacing w:val="0"/>
          <w:sz w:val="24"/>
        </w:rPr>
      </w:pPr>
    </w:p>
    <w:p w14:paraId="6299BC54">
      <w:pPr>
        <w:pageBreakBefore w:val="0"/>
        <w:wordWrap/>
        <w:spacing w:before="160" w:after="0"/>
        <w:ind w:left="0" w:right="0"/>
        <w:jc w:val="left"/>
        <w:textAlignment w:val="auto"/>
        <w:rPr>
          <w:sz w:val="24"/>
        </w:rPr>
      </w:pPr>
      <w:r>
        <w:rPr>
          <w:rFonts w:ascii="宋体" w:hAnsi="宋体" w:eastAsia="宋体" w:cs="宋体"/>
          <w:b/>
          <w:i w:val="0"/>
          <w:spacing w:val="0"/>
          <w:sz w:val="24"/>
        </w:rPr>
        <w:t>2022年李爽作品《咆哮》维护分析</w:t>
      </w:r>
      <w:r>
        <w:rPr>
          <w:rFonts w:ascii="宋体" w:hAnsi="宋体" w:eastAsia="宋体" w:cs="宋体"/>
          <w:b w:val="0"/>
          <w:i w:val="0"/>
          <w:spacing w:val="0"/>
          <w:sz w:val="24"/>
        </w:rPr>
        <w:t>：</w:t>
      </w:r>
    </w:p>
    <w:p w14:paraId="695754D6">
      <w:pPr>
        <w:pageBreakBefore w:val="0"/>
        <w:wordWrap/>
        <w:spacing w:before="160" w:after="0"/>
        <w:ind w:left="0" w:right="0"/>
        <w:jc w:val="left"/>
        <w:textAlignment w:val="auto"/>
        <w:rPr>
          <w:sz w:val="24"/>
        </w:rPr>
      </w:pPr>
      <w:r>
        <w:rPr>
          <w:rFonts w:ascii="宋体" w:hAnsi="宋体" w:eastAsia="宋体" w:cs="宋体"/>
          <w:b w:val="0"/>
          <w:i w:val="0"/>
          <w:spacing w:val="0"/>
          <w:sz w:val="24"/>
        </w:rPr>
        <w:t>该作品获得2022年IAPLC第二名，缸体尺寸120×60×45cm，pH 6.8，每周换水2次×1/3，使用美凤莫斯+迷你水兰组合。其维护亮点包括：</w:t>
      </w:r>
    </w:p>
    <w:p w14:paraId="3D40C24D">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精准控温</w:t>
      </w:r>
      <w:r>
        <w:rPr>
          <w:rFonts w:ascii="宋体" w:hAnsi="宋体" w:eastAsia="宋体" w:cs="宋体"/>
          <w:b w:val="0"/>
          <w:i w:val="0"/>
          <w:spacing w:val="0"/>
          <w:sz w:val="24"/>
        </w:rPr>
        <w:t>：水温维持在25℃±0.5℃，避免温度波动影响生物代谢和硝化系统</w:t>
      </w:r>
    </w:p>
    <w:p w14:paraId="3596A294">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CO₂精细调控</w:t>
      </w:r>
      <w:r>
        <w:rPr>
          <w:rFonts w:ascii="宋体" w:hAnsi="宋体" w:eastAsia="宋体" w:cs="宋体"/>
          <w:b w:val="0"/>
          <w:i w:val="0"/>
          <w:spacing w:val="0"/>
          <w:sz w:val="24"/>
        </w:rPr>
        <w:t>：CO₂浓度维持在15-20ppm，与光照强度（6W/L）和时间（8小时/天）精准匹配</w:t>
      </w:r>
    </w:p>
    <w:p w14:paraId="5E917546">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生物适配</w:t>
      </w:r>
      <w:r>
        <w:rPr>
          <w:rFonts w:ascii="宋体" w:hAnsi="宋体" w:eastAsia="宋体" w:cs="宋体"/>
          <w:b w:val="0"/>
          <w:i w:val="0"/>
          <w:spacing w:val="0"/>
          <w:sz w:val="24"/>
        </w:rPr>
        <w:t>：选择适应性强的生物（如绿莲灯），避免对水质要求过高的敏感物种</w:t>
      </w:r>
    </w:p>
    <w:p w14:paraId="68347D11">
      <w:pPr>
        <w:pageBreakBefore w:val="0"/>
        <w:numPr>
          <w:ilvl w:val="0"/>
          <w:numId w:val="29"/>
        </w:numPr>
        <w:wordWrap/>
        <w:spacing w:before="160" w:after="0"/>
        <w:ind w:left="440" w:right="0" w:hanging="440"/>
        <w:jc w:val="left"/>
        <w:textAlignment w:val="auto"/>
        <w:rPr>
          <w:sz w:val="24"/>
        </w:rPr>
      </w:pPr>
      <w:r>
        <w:rPr>
          <w:rFonts w:ascii="宋体" w:hAnsi="宋体" w:eastAsia="宋体" w:cs="宋体"/>
          <w:b/>
          <w:i w:val="0"/>
          <w:spacing w:val="0"/>
          <w:sz w:val="24"/>
        </w:rPr>
        <w:t>植物修剪</w:t>
      </w:r>
      <w:r>
        <w:rPr>
          <w:rFonts w:ascii="宋体" w:hAnsi="宋体" w:eastAsia="宋体" w:cs="宋体"/>
          <w:b w:val="0"/>
          <w:i w:val="0"/>
          <w:spacing w:val="0"/>
          <w:sz w:val="24"/>
        </w:rPr>
        <w:t>：每日检查水草生长状态，及时修剪过密部分，保持景观层次</w:t>
      </w:r>
    </w:p>
    <w:p w14:paraId="7D713A56">
      <w:pPr>
        <w:pageBreakBefore w:val="0"/>
        <w:wordWrap/>
        <w:spacing w:before="160" w:after="0"/>
        <w:ind w:left="0" w:right="0"/>
        <w:jc w:val="left"/>
        <w:textAlignment w:val="auto"/>
        <w:rPr>
          <w:rFonts w:ascii="宋体" w:hAnsi="宋体" w:eastAsia="宋体" w:cs="宋体"/>
          <w:b/>
          <w:i w:val="0"/>
          <w:spacing w:val="0"/>
          <w:sz w:val="24"/>
        </w:rPr>
      </w:pPr>
    </w:p>
    <w:p w14:paraId="7D6742D8">
      <w:pPr>
        <w:pageBreakBefore w:val="0"/>
        <w:wordWrap/>
        <w:spacing w:before="160" w:after="0"/>
        <w:ind w:left="0" w:right="0"/>
        <w:jc w:val="left"/>
        <w:textAlignment w:val="auto"/>
        <w:rPr>
          <w:sz w:val="24"/>
        </w:rPr>
      </w:pPr>
      <w:r>
        <w:rPr>
          <w:rFonts w:ascii="宋体" w:hAnsi="宋体" w:eastAsia="宋体" w:cs="宋体"/>
          <w:b/>
          <w:i w:val="0"/>
          <w:spacing w:val="0"/>
          <w:sz w:val="24"/>
        </w:rPr>
        <w:t>2025年ADA获奖作品《生生不息》维护策略</w:t>
      </w:r>
      <w:r>
        <w:rPr>
          <w:rFonts w:ascii="宋体" w:hAnsi="宋体" w:eastAsia="宋体" w:cs="宋体"/>
          <w:b w:val="0"/>
          <w:i w:val="0"/>
          <w:spacing w:val="0"/>
          <w:sz w:val="24"/>
        </w:rPr>
        <w:t>：</w:t>
      </w:r>
    </w:p>
    <w:p w14:paraId="2A673294">
      <w:pPr>
        <w:pageBreakBefore w:val="0"/>
        <w:wordWrap/>
        <w:spacing w:before="160" w:after="0"/>
        <w:ind w:left="0" w:right="0"/>
        <w:jc w:val="left"/>
        <w:textAlignment w:val="auto"/>
        <w:rPr>
          <w:sz w:val="24"/>
        </w:rPr>
      </w:pPr>
      <w:r>
        <w:rPr>
          <w:rFonts w:ascii="宋体" w:hAnsi="宋体" w:eastAsia="宋体" w:cs="宋体"/>
          <w:b w:val="0"/>
          <w:i w:val="0"/>
          <w:spacing w:val="0"/>
          <w:sz w:val="24"/>
        </w:rPr>
        <w:t>该作品以苔藓附着沉木表现"水下森林"，其维护难点在于保持苔藓的附着状态与动态生长。解决方案包括：</w:t>
      </w:r>
    </w:p>
    <w:p w14:paraId="651E6ABE">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苔藓塑形</w:t>
      </w:r>
      <w:r>
        <w:rPr>
          <w:rFonts w:ascii="宋体" w:hAnsi="宋体" w:eastAsia="宋体" w:cs="宋体"/>
          <w:b w:val="0"/>
          <w:i w:val="0"/>
          <w:spacing w:val="0"/>
          <w:sz w:val="24"/>
        </w:rPr>
        <w:t>：通过定期修剪（每日）和调整水流，维持苔藓的自然形态</w:t>
      </w:r>
    </w:p>
    <w:p w14:paraId="0EB45C6C">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控温精度</w:t>
      </w:r>
      <w:r>
        <w:rPr>
          <w:rFonts w:ascii="宋体" w:hAnsi="宋体" w:eastAsia="宋体" w:cs="宋体"/>
          <w:b w:val="0"/>
          <w:i w:val="0"/>
          <w:spacing w:val="0"/>
          <w:sz w:val="24"/>
        </w:rPr>
        <w:t>：水温控制在26℃±0.5℃，避免温度波动影响苔藓生长</w:t>
      </w:r>
    </w:p>
    <w:p w14:paraId="6082443B">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硝化系统强化</w:t>
      </w:r>
      <w:r>
        <w:rPr>
          <w:rFonts w:ascii="宋体" w:hAnsi="宋体" w:eastAsia="宋体" w:cs="宋体"/>
          <w:b w:val="0"/>
          <w:i w:val="0"/>
          <w:spacing w:val="0"/>
          <w:sz w:val="24"/>
        </w:rPr>
        <w:t>：采用大流量外置过滤桶（循环流量≥500L/h），维持硝化系统稳定</w:t>
      </w:r>
    </w:p>
    <w:p w14:paraId="21C7752C">
      <w:pPr>
        <w:pageBreakBefore w:val="0"/>
        <w:numPr>
          <w:ilvl w:val="0"/>
          <w:numId w:val="30"/>
        </w:numPr>
        <w:wordWrap/>
        <w:spacing w:before="160" w:after="0"/>
        <w:ind w:left="440" w:right="0" w:hanging="440"/>
        <w:jc w:val="left"/>
        <w:textAlignment w:val="auto"/>
        <w:rPr>
          <w:sz w:val="24"/>
        </w:rPr>
      </w:pPr>
      <w:r>
        <w:rPr>
          <w:rFonts w:ascii="宋体" w:hAnsi="宋体" w:eastAsia="宋体" w:cs="宋体"/>
          <w:b/>
          <w:i w:val="0"/>
          <w:spacing w:val="0"/>
          <w:sz w:val="24"/>
        </w:rPr>
        <w:t>生物选择</w:t>
      </w:r>
      <w:r>
        <w:rPr>
          <w:rFonts w:ascii="宋体" w:hAnsi="宋体" w:eastAsia="宋体" w:cs="宋体"/>
          <w:b w:val="0"/>
          <w:i w:val="0"/>
          <w:spacing w:val="0"/>
          <w:sz w:val="24"/>
        </w:rPr>
        <w:t>：以工具虾为主，辅助控藻，减少鱼类密度以降低氨氮产生</w:t>
      </w:r>
    </w:p>
    <w:p w14:paraId="5F70509D">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案例启示</w:t>
      </w:r>
      <w:r>
        <w:rPr>
          <w:rFonts w:ascii="宋体" w:hAnsi="宋体" w:eastAsia="宋体" w:cs="宋体"/>
          <w:b w:val="0"/>
          <w:i w:val="0"/>
          <w:spacing w:val="0"/>
          <w:sz w:val="24"/>
        </w:rPr>
        <w:t>：ADA风格作品的维护核心在于**"精细化管理"**，通过精准控制每一项参数（温度、pH、CO₂、光照等）和高频次的微调（如每日修剪），实现生态与美学的完美平衡。</w:t>
      </w:r>
    </w:p>
    <w:p w14:paraId="20A60E28">
      <w:pPr>
        <w:pageBreakBefore w:val="0"/>
        <w:wordWrap/>
        <w:spacing w:before="160" w:after="0"/>
        <w:ind w:left="0" w:right="0"/>
        <w:jc w:val="left"/>
        <w:textAlignment w:val="auto"/>
        <w:rPr>
          <w:rFonts w:ascii="宋体" w:hAnsi="宋体" w:eastAsia="宋体" w:cs="宋体"/>
          <w:b/>
          <w:i w:val="0"/>
          <w:spacing w:val="0"/>
          <w:sz w:val="24"/>
        </w:rPr>
      </w:pPr>
    </w:p>
    <w:p w14:paraId="14CD6C68">
      <w:pPr>
        <w:pageBreakBefore w:val="0"/>
        <w:wordWrap/>
        <w:spacing w:before="160" w:after="0"/>
        <w:ind w:left="0" w:right="0"/>
        <w:jc w:val="left"/>
        <w:textAlignment w:val="auto"/>
        <w:rPr>
          <w:sz w:val="24"/>
        </w:rPr>
      </w:pPr>
      <w:r>
        <w:rPr>
          <w:rFonts w:ascii="宋体" w:hAnsi="宋体" w:eastAsia="宋体" w:cs="宋体"/>
          <w:b/>
          <w:i w:val="0"/>
          <w:spacing w:val="0"/>
          <w:sz w:val="24"/>
        </w:rPr>
        <w:t>6.1.2 知名造景师作品风格研究</w:t>
      </w:r>
    </w:p>
    <w:p w14:paraId="1D9E9976">
      <w:pPr>
        <w:pageBreakBefore w:val="0"/>
        <w:wordWrap/>
        <w:spacing w:before="160" w:after="0"/>
        <w:ind w:left="0" w:right="0"/>
        <w:jc w:val="left"/>
        <w:textAlignment w:val="auto"/>
        <w:rPr>
          <w:sz w:val="24"/>
        </w:rPr>
      </w:pPr>
      <w:r>
        <w:rPr>
          <w:rFonts w:ascii="宋体" w:hAnsi="宋体" w:eastAsia="宋体" w:cs="宋体"/>
          <w:b w:val="0"/>
          <w:i w:val="0"/>
          <w:spacing w:val="0"/>
          <w:sz w:val="24"/>
        </w:rPr>
        <w:t>知名造景师作品代表了不同风格的维护管理智慧，通过对其作品的分析，可提炼出各风格的最佳维护策略。</w:t>
      </w:r>
    </w:p>
    <w:p w14:paraId="204C6DF6">
      <w:pPr>
        <w:pageBreakBefore w:val="0"/>
        <w:wordWrap/>
        <w:spacing w:before="160" w:after="0"/>
        <w:ind w:left="0" w:right="0"/>
        <w:jc w:val="left"/>
        <w:textAlignment w:val="auto"/>
        <w:rPr>
          <w:sz w:val="24"/>
        </w:rPr>
      </w:pPr>
      <w:r>
        <w:rPr>
          <w:rFonts w:ascii="宋体" w:hAnsi="宋体" w:eastAsia="宋体" w:cs="宋体"/>
          <w:b/>
          <w:i w:val="0"/>
          <w:spacing w:val="0"/>
          <w:sz w:val="24"/>
        </w:rPr>
        <w:t>天野尚（Amano Takashi）作品维护特点</w:t>
      </w:r>
      <w:r>
        <w:rPr>
          <w:rFonts w:ascii="宋体" w:hAnsi="宋体" w:eastAsia="宋体" w:cs="宋体"/>
          <w:b w:val="0"/>
          <w:i w:val="0"/>
          <w:spacing w:val="0"/>
          <w:sz w:val="24"/>
        </w:rPr>
        <w:t>：</w:t>
      </w:r>
    </w:p>
    <w:p w14:paraId="466C2D3F">
      <w:pPr>
        <w:pageBreakBefore w:val="0"/>
        <w:wordWrap/>
        <w:spacing w:before="160" w:after="0"/>
        <w:ind w:left="0" w:right="0"/>
        <w:jc w:val="left"/>
        <w:textAlignment w:val="auto"/>
        <w:rPr>
          <w:sz w:val="24"/>
        </w:rPr>
      </w:pPr>
      <w:r>
        <w:rPr>
          <w:rFonts w:ascii="宋体" w:hAnsi="宋体" w:eastAsia="宋体" w:cs="宋体"/>
          <w:b w:val="0"/>
          <w:i w:val="0"/>
          <w:spacing w:val="0"/>
          <w:sz w:val="24"/>
        </w:rPr>
        <w:t>天野尚被誉为"水族造景之父"，其作品以</w:t>
      </w:r>
      <w:r>
        <w:rPr>
          <w:rFonts w:ascii="宋体" w:hAnsi="宋体" w:eastAsia="宋体" w:cs="宋体"/>
          <w:b/>
          <w:i w:val="0"/>
          <w:spacing w:val="0"/>
          <w:sz w:val="24"/>
        </w:rPr>
        <w:t>自然风格</w:t>
      </w:r>
      <w:r>
        <w:rPr>
          <w:rFonts w:ascii="宋体" w:hAnsi="宋体" w:eastAsia="宋体" w:cs="宋体"/>
          <w:b w:val="0"/>
          <w:i w:val="0"/>
          <w:spacing w:val="0"/>
          <w:sz w:val="24"/>
        </w:rPr>
        <w:t>著称，维护特点包括：</w:t>
      </w:r>
    </w:p>
    <w:p w14:paraId="7D1412B3">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低密度种植</w:t>
      </w:r>
      <w:r>
        <w:rPr>
          <w:rFonts w:ascii="宋体" w:hAnsi="宋体" w:eastAsia="宋体" w:cs="宋体"/>
          <w:b w:val="0"/>
          <w:i w:val="0"/>
          <w:spacing w:val="0"/>
          <w:sz w:val="24"/>
        </w:rPr>
        <w:t>：水草密度适中，留出充足空间供鱼类活动</w:t>
      </w:r>
    </w:p>
    <w:p w14:paraId="78589265">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自然光照利用</w:t>
      </w:r>
      <w:r>
        <w:rPr>
          <w:rFonts w:ascii="宋体" w:hAnsi="宋体" w:eastAsia="宋体" w:cs="宋体"/>
          <w:b w:val="0"/>
          <w:i w:val="0"/>
          <w:spacing w:val="0"/>
          <w:sz w:val="24"/>
        </w:rPr>
        <w:t>：优先利用自然光照，减少人工光源依赖</w:t>
      </w:r>
    </w:p>
    <w:p w14:paraId="0F3108DC">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生物适配</w:t>
      </w:r>
      <w:r>
        <w:rPr>
          <w:rFonts w:ascii="宋体" w:hAnsi="宋体" w:eastAsia="宋体" w:cs="宋体"/>
          <w:b w:val="0"/>
          <w:i w:val="0"/>
          <w:spacing w:val="0"/>
          <w:sz w:val="24"/>
        </w:rPr>
        <w:t>：选择与造景风格匹配的生物（如小型慈鲷、地图鱼）</w:t>
      </w:r>
    </w:p>
    <w:p w14:paraId="558232CC">
      <w:pPr>
        <w:pageBreakBefore w:val="0"/>
        <w:numPr>
          <w:ilvl w:val="0"/>
          <w:numId w:val="31"/>
        </w:numPr>
        <w:wordWrap/>
        <w:spacing w:before="160" w:after="0"/>
        <w:ind w:left="440" w:right="0" w:hanging="440"/>
        <w:jc w:val="left"/>
        <w:textAlignment w:val="auto"/>
        <w:rPr>
          <w:sz w:val="24"/>
        </w:rPr>
      </w:pPr>
      <w:r>
        <w:rPr>
          <w:rFonts w:ascii="宋体" w:hAnsi="宋体" w:eastAsia="宋体" w:cs="宋体"/>
          <w:b/>
          <w:i w:val="0"/>
          <w:spacing w:val="0"/>
          <w:sz w:val="24"/>
        </w:rPr>
        <w:t>简化维护</w:t>
      </w:r>
      <w:r>
        <w:rPr>
          <w:rFonts w:ascii="宋体" w:hAnsi="宋体" w:eastAsia="宋体" w:cs="宋体"/>
          <w:b w:val="0"/>
          <w:i w:val="0"/>
          <w:spacing w:val="0"/>
          <w:sz w:val="24"/>
        </w:rPr>
        <w:t>：设计易于维护的景观结构，减少日常操作难度</w:t>
      </w:r>
    </w:p>
    <w:p w14:paraId="3B8B62F2">
      <w:pPr>
        <w:pageBreakBefore w:val="0"/>
        <w:wordWrap/>
        <w:spacing w:before="160" w:after="0"/>
        <w:ind w:left="0" w:right="0"/>
        <w:jc w:val="left"/>
        <w:textAlignment w:val="auto"/>
        <w:rPr>
          <w:rFonts w:ascii="宋体" w:hAnsi="宋体" w:eastAsia="宋体" w:cs="宋体"/>
          <w:b/>
          <w:i w:val="0"/>
          <w:spacing w:val="0"/>
          <w:sz w:val="24"/>
        </w:rPr>
      </w:pPr>
    </w:p>
    <w:p w14:paraId="7B7974F3">
      <w:pPr>
        <w:pageBreakBefore w:val="0"/>
        <w:wordWrap/>
        <w:spacing w:before="160" w:after="0"/>
        <w:ind w:left="0" w:right="0"/>
        <w:jc w:val="left"/>
        <w:textAlignment w:val="auto"/>
        <w:rPr>
          <w:sz w:val="24"/>
        </w:rPr>
      </w:pPr>
      <w:r>
        <w:rPr>
          <w:rFonts w:ascii="宋体" w:hAnsi="宋体" w:eastAsia="宋体" w:cs="宋体"/>
          <w:b/>
          <w:i w:val="0"/>
          <w:spacing w:val="0"/>
          <w:sz w:val="24"/>
        </w:rPr>
        <w:t>西班牙造景师Bernat Hosta作品维护分析</w:t>
      </w:r>
      <w:r>
        <w:rPr>
          <w:rFonts w:ascii="宋体" w:hAnsi="宋体" w:eastAsia="宋体" w:cs="宋体"/>
          <w:b w:val="0"/>
          <w:i w:val="0"/>
          <w:spacing w:val="0"/>
          <w:sz w:val="24"/>
        </w:rPr>
        <w:t>：</w:t>
      </w:r>
    </w:p>
    <w:p w14:paraId="7E93121B">
      <w:pPr>
        <w:pageBreakBefore w:val="0"/>
        <w:wordWrap/>
        <w:spacing w:before="160" w:after="0"/>
        <w:ind w:left="0" w:right="0"/>
        <w:jc w:val="left"/>
        <w:textAlignment w:val="auto"/>
        <w:rPr>
          <w:sz w:val="24"/>
        </w:rPr>
      </w:pPr>
      <w:r>
        <w:rPr>
          <w:rFonts w:ascii="宋体" w:hAnsi="宋体" w:eastAsia="宋体" w:cs="宋体"/>
          <w:b w:val="0"/>
          <w:i w:val="0"/>
          <w:spacing w:val="0"/>
          <w:sz w:val="24"/>
        </w:rPr>
        <w:t>Bernat Hosta以</w:t>
      </w:r>
      <w:r>
        <w:rPr>
          <w:rFonts w:ascii="宋体" w:hAnsi="宋体" w:eastAsia="宋体" w:cs="宋体"/>
          <w:b/>
          <w:i w:val="0"/>
          <w:spacing w:val="0"/>
          <w:sz w:val="24"/>
        </w:rPr>
        <w:t>三角构图法</w:t>
      </w:r>
      <w:r>
        <w:rPr>
          <w:rFonts w:ascii="宋体" w:hAnsi="宋体" w:eastAsia="宋体" w:cs="宋体"/>
          <w:b w:val="0"/>
          <w:i w:val="0"/>
          <w:spacing w:val="0"/>
          <w:sz w:val="24"/>
        </w:rPr>
        <w:t>和</w:t>
      </w:r>
      <w:r>
        <w:rPr>
          <w:rFonts w:ascii="宋体" w:hAnsi="宋体" w:eastAsia="宋体" w:cs="宋体"/>
          <w:b/>
          <w:i w:val="0"/>
          <w:spacing w:val="0"/>
          <w:sz w:val="24"/>
        </w:rPr>
        <w:t>强水流设计</w:t>
      </w:r>
      <w:r>
        <w:rPr>
          <w:rFonts w:ascii="宋体" w:hAnsi="宋体" w:eastAsia="宋体" w:cs="宋体"/>
          <w:b w:val="0"/>
          <w:i w:val="0"/>
          <w:spacing w:val="0"/>
          <w:sz w:val="24"/>
        </w:rPr>
        <w:t>闻名，其作品维护亮点包括：</w:t>
      </w:r>
    </w:p>
    <w:p w14:paraId="2F97C7AF">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水流系统设计</w:t>
      </w:r>
      <w:r>
        <w:rPr>
          <w:rFonts w:ascii="宋体" w:hAnsi="宋体" w:eastAsia="宋体" w:cs="宋体"/>
          <w:b w:val="0"/>
          <w:i w:val="0"/>
          <w:spacing w:val="0"/>
          <w:sz w:val="24"/>
        </w:rPr>
        <w:t>：通过多水泵组合，实现全缸均匀水流，无死水区</w:t>
      </w:r>
    </w:p>
    <w:p w14:paraId="39F0DFBC">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生物负载控制</w:t>
      </w:r>
      <w:r>
        <w:rPr>
          <w:rFonts w:ascii="宋体" w:hAnsi="宋体" w:eastAsia="宋体" w:cs="宋体"/>
          <w:b w:val="0"/>
          <w:i w:val="0"/>
          <w:spacing w:val="0"/>
          <w:sz w:val="24"/>
        </w:rPr>
        <w:t>：严格遵循"1升水养1厘米鱼"原则，避免过度饲养</w:t>
      </w:r>
    </w:p>
    <w:p w14:paraId="7373F4CA">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CO₂自动调节</w:t>
      </w:r>
      <w:r>
        <w:rPr>
          <w:rFonts w:ascii="宋体" w:hAnsi="宋体" w:eastAsia="宋体" w:cs="宋体"/>
          <w:b w:val="0"/>
          <w:i w:val="0"/>
          <w:spacing w:val="0"/>
          <w:sz w:val="24"/>
        </w:rPr>
        <w:t>：根据光照强度自动调整CO₂输出，优化光合作用</w:t>
      </w:r>
    </w:p>
    <w:p w14:paraId="378E84A3">
      <w:pPr>
        <w:pageBreakBefore w:val="0"/>
        <w:numPr>
          <w:ilvl w:val="0"/>
          <w:numId w:val="32"/>
        </w:numPr>
        <w:wordWrap/>
        <w:spacing w:before="160" w:after="0"/>
        <w:ind w:left="440" w:right="0" w:hanging="440"/>
        <w:jc w:val="left"/>
        <w:textAlignment w:val="auto"/>
        <w:rPr>
          <w:sz w:val="24"/>
        </w:rPr>
      </w:pPr>
      <w:r>
        <w:rPr>
          <w:rFonts w:ascii="宋体" w:hAnsi="宋体" w:eastAsia="宋体" w:cs="宋体"/>
          <w:b/>
          <w:i w:val="0"/>
          <w:spacing w:val="0"/>
          <w:sz w:val="24"/>
        </w:rPr>
        <w:t>智能监测</w:t>
      </w:r>
      <w:r>
        <w:rPr>
          <w:rFonts w:ascii="宋体" w:hAnsi="宋体" w:eastAsia="宋体" w:cs="宋体"/>
          <w:b w:val="0"/>
          <w:i w:val="0"/>
          <w:spacing w:val="0"/>
          <w:sz w:val="24"/>
        </w:rPr>
        <w:t>：配备水质监测系统，实时监控并预警参数异常</w:t>
      </w:r>
    </w:p>
    <w:p w14:paraId="6639E309">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案例启示</w:t>
      </w:r>
      <w:r>
        <w:rPr>
          <w:rFonts w:ascii="宋体" w:hAnsi="宋体" w:eastAsia="宋体" w:cs="宋体"/>
          <w:b w:val="0"/>
          <w:i w:val="0"/>
          <w:spacing w:val="0"/>
          <w:sz w:val="24"/>
        </w:rPr>
        <w:t>：不同造景师的作品风格差异明显，但其维护管理的核心理念一致——</w:t>
      </w:r>
      <w:r>
        <w:rPr>
          <w:rFonts w:ascii="宋体" w:hAnsi="宋体" w:eastAsia="宋体" w:cs="宋体"/>
          <w:b/>
          <w:i w:val="0"/>
          <w:spacing w:val="0"/>
          <w:sz w:val="24"/>
        </w:rPr>
        <w:t>"理解并尊重自然规律，通过科学方法模拟自然生态系统"</w:t>
      </w:r>
      <w:r>
        <w:rPr>
          <w:rFonts w:ascii="宋体" w:hAnsi="宋体" w:eastAsia="宋体" w:cs="宋体"/>
          <w:b w:val="0"/>
          <w:i w:val="0"/>
          <w:spacing w:val="0"/>
          <w:sz w:val="24"/>
        </w:rPr>
        <w:t>。这要求维护者不仅关注表面美观，更要深入理解水族箱的生态机制。</w:t>
      </w:r>
    </w:p>
    <w:p w14:paraId="04B50F0B">
      <w:pPr>
        <w:pageBreakBefore w:val="0"/>
        <w:wordWrap/>
        <w:spacing w:before="160" w:after="0"/>
        <w:ind w:left="0" w:right="0"/>
        <w:jc w:val="left"/>
        <w:textAlignment w:val="auto"/>
        <w:rPr>
          <w:rFonts w:ascii="宋体" w:hAnsi="宋体" w:eastAsia="宋体" w:cs="宋体"/>
          <w:b/>
          <w:i w:val="0"/>
          <w:spacing w:val="0"/>
          <w:sz w:val="28"/>
        </w:rPr>
      </w:pPr>
    </w:p>
    <w:p w14:paraId="5F7CC18D">
      <w:pPr>
        <w:pageBreakBefore w:val="0"/>
        <w:wordWrap/>
        <w:spacing w:before="160" w:after="0"/>
        <w:ind w:left="0" w:right="0"/>
        <w:jc w:val="left"/>
        <w:textAlignment w:val="auto"/>
        <w:rPr>
          <w:sz w:val="28"/>
        </w:rPr>
      </w:pPr>
      <w:r>
        <w:rPr>
          <w:rFonts w:ascii="宋体" w:hAnsi="宋体" w:eastAsia="宋体" w:cs="宋体"/>
          <w:b/>
          <w:i w:val="0"/>
          <w:spacing w:val="0"/>
          <w:sz w:val="28"/>
        </w:rPr>
        <w:t>6.2 不同风格的实践应用</w:t>
      </w:r>
    </w:p>
    <w:p w14:paraId="04A84938">
      <w:pPr>
        <w:pageBreakBefore w:val="0"/>
        <w:wordWrap/>
        <w:spacing w:before="160" w:after="0"/>
        <w:ind w:left="0" w:right="0"/>
        <w:jc w:val="left"/>
        <w:textAlignment w:val="auto"/>
        <w:rPr>
          <w:sz w:val="24"/>
        </w:rPr>
      </w:pPr>
      <w:r>
        <w:rPr>
          <w:rFonts w:ascii="宋体" w:hAnsi="宋体" w:eastAsia="宋体" w:cs="宋体"/>
          <w:b w:val="0"/>
          <w:i w:val="0"/>
          <w:spacing w:val="0"/>
          <w:sz w:val="24"/>
        </w:rPr>
        <w:t>不同风格的水族造景在维护管理上存在显著差异，需针对各风格特点制定相应策略。</w:t>
      </w:r>
    </w:p>
    <w:p w14:paraId="207D8698">
      <w:pPr>
        <w:pageBreakBefore w:val="0"/>
        <w:wordWrap/>
        <w:spacing w:before="160" w:after="0"/>
        <w:ind w:left="0" w:right="0"/>
        <w:jc w:val="left"/>
        <w:textAlignment w:val="auto"/>
        <w:rPr>
          <w:sz w:val="24"/>
        </w:rPr>
      </w:pPr>
      <w:r>
        <w:rPr>
          <w:rFonts w:ascii="宋体" w:hAnsi="宋体" w:eastAsia="宋体" w:cs="宋体"/>
          <w:b/>
          <w:i w:val="0"/>
          <w:spacing w:val="0"/>
          <w:sz w:val="24"/>
        </w:rPr>
        <w:t>6.2.1 自然风格造景（雨林、溪流等主题）</w:t>
      </w:r>
    </w:p>
    <w:p w14:paraId="3C27A283">
      <w:pPr>
        <w:pageBreakBefore w:val="0"/>
        <w:wordWrap/>
        <w:spacing w:before="160" w:after="0"/>
        <w:ind w:left="0" w:right="0"/>
        <w:jc w:val="left"/>
        <w:textAlignment w:val="auto"/>
        <w:rPr>
          <w:sz w:val="24"/>
        </w:rPr>
      </w:pPr>
      <w:r>
        <w:rPr>
          <w:rFonts w:ascii="宋体" w:hAnsi="宋体" w:eastAsia="宋体" w:cs="宋体"/>
          <w:b w:val="0"/>
          <w:i w:val="0"/>
          <w:spacing w:val="0"/>
          <w:sz w:val="24"/>
        </w:rPr>
        <w:t>自然风格造景追求</w:t>
      </w:r>
      <w:r>
        <w:rPr>
          <w:rFonts w:ascii="宋体" w:hAnsi="宋体" w:eastAsia="宋体" w:cs="宋体"/>
          <w:b/>
          <w:i w:val="0"/>
          <w:spacing w:val="0"/>
          <w:sz w:val="24"/>
        </w:rPr>
        <w:t>自然感与野趣</w:t>
      </w:r>
      <w:r>
        <w:rPr>
          <w:rFonts w:ascii="宋体" w:hAnsi="宋体" w:eastAsia="宋体" w:cs="宋体"/>
          <w:b w:val="0"/>
          <w:i w:val="0"/>
          <w:spacing w:val="0"/>
          <w:sz w:val="24"/>
        </w:rPr>
        <w:t>，其维护管理需注重以下方面：</w:t>
      </w:r>
    </w:p>
    <w:p w14:paraId="55421672">
      <w:pPr>
        <w:pageBreakBefore w:val="0"/>
        <w:wordWrap/>
        <w:spacing w:before="160" w:after="0"/>
        <w:ind w:left="0" w:right="0"/>
        <w:jc w:val="left"/>
        <w:textAlignment w:val="auto"/>
        <w:rPr>
          <w:sz w:val="24"/>
        </w:rPr>
      </w:pPr>
      <w:r>
        <w:rPr>
          <w:rFonts w:ascii="宋体" w:hAnsi="宋体" w:eastAsia="宋体" w:cs="宋体"/>
          <w:b/>
          <w:i w:val="0"/>
          <w:spacing w:val="0"/>
          <w:sz w:val="24"/>
        </w:rPr>
        <w:t>维护难点</w:t>
      </w:r>
      <w:r>
        <w:rPr>
          <w:rFonts w:ascii="宋体" w:hAnsi="宋体" w:eastAsia="宋体" w:cs="宋体"/>
          <w:b w:val="0"/>
          <w:i w:val="0"/>
          <w:spacing w:val="0"/>
          <w:sz w:val="24"/>
        </w:rPr>
        <w:t>：</w:t>
      </w:r>
    </w:p>
    <w:p w14:paraId="3F5E793B">
      <w:pPr>
        <w:pageBreakBefore w:val="0"/>
        <w:numPr>
          <w:ilvl w:val="0"/>
          <w:numId w:val="64"/>
        </w:numPr>
        <w:wordWrap/>
        <w:spacing w:before="160" w:after="0"/>
        <w:ind w:left="440" w:right="0" w:hanging="440"/>
        <w:jc w:val="left"/>
        <w:textAlignment w:val="auto"/>
        <w:rPr>
          <w:sz w:val="24"/>
        </w:rPr>
      </w:pPr>
      <w:r>
        <w:rPr>
          <w:rFonts w:ascii="宋体" w:hAnsi="宋体" w:eastAsia="宋体" w:cs="宋体"/>
          <w:b/>
          <w:i w:val="0"/>
          <w:spacing w:val="0"/>
          <w:sz w:val="24"/>
        </w:rPr>
        <w:t>水流设计</w:t>
      </w:r>
      <w:r>
        <w:rPr>
          <w:rFonts w:ascii="宋体" w:hAnsi="宋体" w:eastAsia="宋体" w:cs="宋体"/>
          <w:b w:val="0"/>
          <w:i w:val="0"/>
          <w:spacing w:val="0"/>
          <w:sz w:val="24"/>
        </w:rPr>
        <w:t>：需模拟自然水流（如溪流的湍急与平缓交替），避免单一水流模式</w:t>
      </w:r>
    </w:p>
    <w:p w14:paraId="26513363">
      <w:pPr>
        <w:pageBreakBefore w:val="0"/>
        <w:numPr>
          <w:ilvl w:val="0"/>
          <w:numId w:val="64"/>
        </w:numPr>
        <w:wordWrap/>
        <w:spacing w:before="160" w:after="0"/>
        <w:ind w:left="440" w:right="0" w:hanging="440"/>
        <w:jc w:val="left"/>
        <w:textAlignment w:val="auto"/>
        <w:rPr>
          <w:sz w:val="24"/>
        </w:rPr>
      </w:pPr>
      <w:r>
        <w:rPr>
          <w:rFonts w:ascii="宋体" w:hAnsi="宋体" w:eastAsia="宋体" w:cs="宋体"/>
          <w:b/>
          <w:i w:val="0"/>
          <w:spacing w:val="0"/>
          <w:sz w:val="24"/>
        </w:rPr>
        <w:t>生物适配</w:t>
      </w:r>
      <w:r>
        <w:rPr>
          <w:rFonts w:ascii="宋体" w:hAnsi="宋体" w:eastAsia="宋体" w:cs="宋体"/>
          <w:b w:val="0"/>
          <w:i w:val="0"/>
          <w:spacing w:val="0"/>
          <w:sz w:val="24"/>
        </w:rPr>
        <w:t>：选择与自然生境匹配的生物，如亚马逊流域的慈鲷或东南亚的虾虎鱼</w:t>
      </w:r>
    </w:p>
    <w:p w14:paraId="0C55F653">
      <w:pPr>
        <w:pageBreakBefore w:val="0"/>
        <w:numPr>
          <w:ilvl w:val="0"/>
          <w:numId w:val="64"/>
        </w:numPr>
        <w:wordWrap/>
        <w:spacing w:before="160" w:after="0"/>
        <w:ind w:left="440" w:right="0" w:hanging="440"/>
        <w:jc w:val="left"/>
        <w:textAlignment w:val="auto"/>
        <w:rPr>
          <w:sz w:val="24"/>
        </w:rPr>
      </w:pPr>
      <w:r>
        <w:rPr>
          <w:rFonts w:ascii="宋体" w:hAnsi="宋体" w:eastAsia="宋体" w:cs="宋体"/>
          <w:b/>
          <w:i w:val="0"/>
          <w:spacing w:val="0"/>
          <w:sz w:val="24"/>
        </w:rPr>
        <w:t>景观变化</w:t>
      </w:r>
      <w:r>
        <w:rPr>
          <w:rFonts w:ascii="宋体" w:hAnsi="宋体" w:eastAsia="宋体" w:cs="宋体"/>
          <w:b w:val="0"/>
          <w:i w:val="0"/>
          <w:spacing w:val="0"/>
          <w:sz w:val="24"/>
        </w:rPr>
        <w:t>：需接受水草自然生长带来的景观变化，而非强制干预</w:t>
      </w:r>
    </w:p>
    <w:p w14:paraId="2CD717AE">
      <w:pPr>
        <w:pageBreakBefore w:val="0"/>
        <w:wordWrap/>
        <w:spacing w:before="160" w:after="0"/>
        <w:ind w:left="0" w:right="0"/>
        <w:jc w:val="left"/>
        <w:textAlignment w:val="auto"/>
        <w:rPr>
          <w:sz w:val="24"/>
        </w:rPr>
      </w:pPr>
      <w:r>
        <w:rPr>
          <w:rFonts w:ascii="宋体" w:hAnsi="宋体" w:eastAsia="宋体" w:cs="宋体"/>
          <w:b/>
          <w:i w:val="0"/>
          <w:spacing w:val="0"/>
          <w:sz w:val="24"/>
        </w:rPr>
        <w:t>维护策略</w:t>
      </w:r>
      <w:r>
        <w:rPr>
          <w:rFonts w:ascii="宋体" w:hAnsi="宋体" w:eastAsia="宋体" w:cs="宋体"/>
          <w:b w:val="0"/>
          <w:i w:val="0"/>
          <w:spacing w:val="0"/>
          <w:sz w:val="24"/>
        </w:rPr>
        <w:t>：</w:t>
      </w:r>
    </w:p>
    <w:p w14:paraId="1BBE2110">
      <w:pPr>
        <w:pageBreakBefore w:val="0"/>
        <w:numPr>
          <w:ilvl w:val="0"/>
          <w:numId w:val="65"/>
        </w:numPr>
        <w:wordWrap/>
        <w:spacing w:before="160" w:after="0"/>
        <w:ind w:left="440" w:right="0" w:hanging="440"/>
        <w:jc w:val="left"/>
        <w:textAlignment w:val="auto"/>
        <w:rPr>
          <w:sz w:val="24"/>
        </w:rPr>
      </w:pPr>
      <w:r>
        <w:rPr>
          <w:rFonts w:ascii="宋体" w:hAnsi="宋体" w:eastAsia="宋体" w:cs="宋体"/>
          <w:b/>
          <w:i w:val="0"/>
          <w:spacing w:val="0"/>
          <w:sz w:val="24"/>
        </w:rPr>
        <w:t>水流系统</w:t>
      </w:r>
      <w:r>
        <w:rPr>
          <w:rFonts w:ascii="宋体" w:hAnsi="宋体" w:eastAsia="宋体" w:cs="宋体"/>
          <w:b w:val="0"/>
          <w:i w:val="0"/>
          <w:spacing w:val="0"/>
          <w:sz w:val="24"/>
        </w:rPr>
        <w:t>：采用多水泵组合，设置不同流速区域，模拟自然水流</w:t>
      </w:r>
    </w:p>
    <w:p w14:paraId="3A570793">
      <w:pPr>
        <w:pageBreakBefore w:val="0"/>
        <w:numPr>
          <w:ilvl w:val="0"/>
          <w:numId w:val="65"/>
        </w:numPr>
        <w:wordWrap/>
        <w:spacing w:before="160" w:after="0"/>
        <w:ind w:left="440" w:right="0" w:hanging="440"/>
        <w:jc w:val="left"/>
        <w:textAlignment w:val="auto"/>
        <w:rPr>
          <w:sz w:val="24"/>
        </w:rPr>
      </w:pPr>
      <w:r>
        <w:rPr>
          <w:rFonts w:ascii="宋体" w:hAnsi="宋体" w:eastAsia="宋体" w:cs="宋体"/>
          <w:b/>
          <w:i w:val="0"/>
          <w:spacing w:val="0"/>
          <w:sz w:val="24"/>
        </w:rPr>
        <w:t>生物密度</w:t>
      </w:r>
      <w:r>
        <w:rPr>
          <w:rFonts w:ascii="宋体" w:hAnsi="宋体" w:eastAsia="宋体" w:cs="宋体"/>
          <w:b w:val="0"/>
          <w:i w:val="0"/>
          <w:spacing w:val="0"/>
          <w:sz w:val="24"/>
        </w:rPr>
        <w:t>：严格控制在生物负载量的70%以下，预留充足空间</w:t>
      </w:r>
    </w:p>
    <w:p w14:paraId="1929971F">
      <w:pPr>
        <w:pageBreakBefore w:val="0"/>
        <w:numPr>
          <w:ilvl w:val="0"/>
          <w:numId w:val="65"/>
        </w:numPr>
        <w:wordWrap/>
        <w:spacing w:before="160" w:after="0"/>
        <w:ind w:left="440" w:right="0" w:hanging="440"/>
        <w:jc w:val="left"/>
        <w:textAlignment w:val="auto"/>
        <w:rPr>
          <w:sz w:val="24"/>
        </w:rPr>
      </w:pPr>
      <w:r>
        <w:rPr>
          <w:rFonts w:ascii="宋体" w:hAnsi="宋体" w:eastAsia="宋体" w:cs="宋体"/>
          <w:b/>
          <w:i w:val="0"/>
          <w:spacing w:val="0"/>
          <w:sz w:val="24"/>
        </w:rPr>
        <w:t>维护频率</w:t>
      </w:r>
      <w:r>
        <w:rPr>
          <w:rFonts w:ascii="宋体" w:hAnsi="宋体" w:eastAsia="宋体" w:cs="宋体"/>
          <w:b w:val="0"/>
          <w:i w:val="0"/>
          <w:spacing w:val="0"/>
          <w:sz w:val="24"/>
        </w:rPr>
        <w:t>：每周检查1次，每2周修剪1次，每月换水1次</w:t>
      </w:r>
    </w:p>
    <w:p w14:paraId="3DB2D481">
      <w:pPr>
        <w:pageBreakBefore w:val="0"/>
        <w:numPr>
          <w:ilvl w:val="0"/>
          <w:numId w:val="65"/>
        </w:numPr>
        <w:wordWrap/>
        <w:spacing w:before="160" w:after="0"/>
        <w:ind w:left="440" w:right="0" w:hanging="440"/>
        <w:jc w:val="left"/>
        <w:textAlignment w:val="auto"/>
        <w:rPr>
          <w:sz w:val="24"/>
        </w:rPr>
      </w:pPr>
      <w:r>
        <w:rPr>
          <w:rFonts w:ascii="宋体" w:hAnsi="宋体" w:eastAsia="宋体" w:cs="宋体"/>
          <w:b/>
          <w:i w:val="0"/>
          <w:spacing w:val="0"/>
          <w:sz w:val="24"/>
        </w:rPr>
        <w:t>维护重点</w:t>
      </w:r>
      <w:r>
        <w:rPr>
          <w:rFonts w:ascii="宋体" w:hAnsi="宋体" w:eastAsia="宋体" w:cs="宋体"/>
          <w:b w:val="0"/>
          <w:i w:val="0"/>
          <w:spacing w:val="0"/>
          <w:sz w:val="24"/>
        </w:rPr>
        <w:t>：保持底床稳定，防止水草移位，控制藻类生长</w:t>
      </w:r>
    </w:p>
    <w:p w14:paraId="4CAB552A">
      <w:pPr>
        <w:pageBreakBefore w:val="0"/>
        <w:wordWrap/>
        <w:spacing w:before="160" w:after="0"/>
        <w:ind w:left="0" w:right="0"/>
        <w:jc w:val="left"/>
        <w:textAlignment w:val="auto"/>
        <w:rPr>
          <w:sz w:val="24"/>
        </w:rPr>
      </w:pPr>
      <w:r>
        <w:rPr>
          <w:rFonts w:ascii="宋体" w:hAnsi="宋体" w:eastAsia="宋体" w:cs="宋体"/>
          <w:b/>
          <w:i w:val="0"/>
          <w:spacing w:val="0"/>
          <w:sz w:val="24"/>
        </w:rPr>
        <w:t>成功案例</w:t>
      </w:r>
      <w:r>
        <w:rPr>
          <w:rFonts w:ascii="宋体" w:hAnsi="宋体" w:eastAsia="宋体" w:cs="宋体"/>
          <w:b w:val="0"/>
          <w:i w:val="0"/>
          <w:spacing w:val="0"/>
          <w:sz w:val="24"/>
        </w:rPr>
        <w:t>：2025年"长城杯"国际造景大赛冠军选手Muhammad Yusuf的获奖作品《VEINS OF NATURE 2》，灵感源于中爪哇省热带雨林，通过</w:t>
      </w:r>
      <w:r>
        <w:rPr>
          <w:rFonts w:ascii="宋体" w:hAnsi="宋体" w:eastAsia="宋体" w:cs="宋体"/>
          <w:b/>
          <w:i w:val="0"/>
          <w:spacing w:val="0"/>
          <w:sz w:val="24"/>
        </w:rPr>
        <w:t>窄边设计</w:t>
      </w:r>
      <w:r>
        <w:rPr>
          <w:rFonts w:ascii="宋体" w:hAnsi="宋体" w:eastAsia="宋体" w:cs="宋体"/>
          <w:b w:val="0"/>
          <w:i w:val="0"/>
          <w:spacing w:val="0"/>
          <w:sz w:val="24"/>
        </w:rPr>
        <w:t>和</w:t>
      </w:r>
      <w:r>
        <w:rPr>
          <w:rFonts w:ascii="宋体" w:hAnsi="宋体" w:eastAsia="宋体" w:cs="宋体"/>
          <w:b/>
          <w:i w:val="0"/>
          <w:spacing w:val="0"/>
          <w:sz w:val="24"/>
        </w:rPr>
        <w:t>三重过滤系统</w:t>
      </w:r>
      <w:r>
        <w:rPr>
          <w:rFonts w:ascii="宋体" w:hAnsi="宋体" w:eastAsia="宋体" w:cs="宋体"/>
          <w:b w:val="0"/>
          <w:i w:val="0"/>
          <w:spacing w:val="0"/>
          <w:sz w:val="24"/>
        </w:rPr>
        <w:t>（物理+生物+化学），实现了"生态免换水"，年换水仅需1-2次，大幅降低了维护难度。</w:t>
      </w:r>
    </w:p>
    <w:p w14:paraId="5EDC1C4F">
      <w:pPr>
        <w:pageBreakBefore w:val="0"/>
        <w:wordWrap/>
        <w:spacing w:before="160" w:after="0"/>
        <w:ind w:left="0" w:right="0"/>
        <w:jc w:val="left"/>
        <w:textAlignment w:val="auto"/>
        <w:rPr>
          <w:rFonts w:ascii="宋体" w:hAnsi="宋体" w:eastAsia="宋体" w:cs="宋体"/>
          <w:b/>
          <w:i w:val="0"/>
          <w:spacing w:val="0"/>
          <w:sz w:val="24"/>
        </w:rPr>
      </w:pPr>
    </w:p>
    <w:p w14:paraId="5240A02F">
      <w:pPr>
        <w:pageBreakBefore w:val="0"/>
        <w:wordWrap/>
        <w:spacing w:before="160" w:after="0"/>
        <w:ind w:left="0" w:right="0"/>
        <w:jc w:val="left"/>
        <w:textAlignment w:val="auto"/>
        <w:rPr>
          <w:sz w:val="24"/>
        </w:rPr>
      </w:pPr>
      <w:r>
        <w:rPr>
          <w:rFonts w:ascii="宋体" w:hAnsi="宋体" w:eastAsia="宋体" w:cs="宋体"/>
          <w:b/>
          <w:i w:val="0"/>
          <w:spacing w:val="0"/>
          <w:sz w:val="24"/>
        </w:rPr>
        <w:t>6.2.2 荷兰式水草造景</w:t>
      </w:r>
    </w:p>
    <w:p w14:paraId="5018AED9">
      <w:pPr>
        <w:pageBreakBefore w:val="0"/>
        <w:wordWrap/>
        <w:spacing w:before="160" w:after="0"/>
        <w:ind w:left="0" w:right="0"/>
        <w:jc w:val="left"/>
        <w:textAlignment w:val="auto"/>
        <w:rPr>
          <w:sz w:val="24"/>
        </w:rPr>
      </w:pPr>
      <w:r>
        <w:rPr>
          <w:rFonts w:ascii="宋体" w:hAnsi="宋体" w:eastAsia="宋体" w:cs="宋体"/>
          <w:b w:val="0"/>
          <w:i w:val="0"/>
          <w:spacing w:val="0"/>
          <w:sz w:val="24"/>
        </w:rPr>
        <w:t>荷兰式水草造景以</w:t>
      </w:r>
      <w:r>
        <w:rPr>
          <w:rFonts w:ascii="宋体" w:hAnsi="宋体" w:eastAsia="宋体" w:cs="宋体"/>
          <w:b/>
          <w:i w:val="0"/>
          <w:spacing w:val="0"/>
          <w:sz w:val="24"/>
        </w:rPr>
        <w:t>精确布局和高密度种植</w:t>
      </w:r>
      <w:r>
        <w:rPr>
          <w:rFonts w:ascii="宋体" w:hAnsi="宋体" w:eastAsia="宋体" w:cs="宋体"/>
          <w:b w:val="0"/>
          <w:i w:val="0"/>
          <w:spacing w:val="0"/>
          <w:sz w:val="24"/>
        </w:rPr>
        <w:t>为特点，其维护管理难度显著高于自然风格。</w:t>
      </w:r>
    </w:p>
    <w:p w14:paraId="7F314A70">
      <w:pPr>
        <w:pageBreakBefore w:val="0"/>
        <w:wordWrap/>
        <w:spacing w:before="160" w:after="0"/>
        <w:ind w:left="0" w:right="0"/>
        <w:jc w:val="left"/>
        <w:textAlignment w:val="auto"/>
        <w:rPr>
          <w:sz w:val="24"/>
        </w:rPr>
      </w:pPr>
      <w:r>
        <w:rPr>
          <w:rFonts w:ascii="宋体" w:hAnsi="宋体" w:eastAsia="宋体" w:cs="宋体"/>
          <w:b/>
          <w:i w:val="0"/>
          <w:spacing w:val="0"/>
          <w:sz w:val="24"/>
        </w:rPr>
        <w:t>维护难点</w:t>
      </w:r>
      <w:r>
        <w:rPr>
          <w:rFonts w:ascii="宋体" w:hAnsi="宋体" w:eastAsia="宋体" w:cs="宋体"/>
          <w:b w:val="0"/>
          <w:i w:val="0"/>
          <w:spacing w:val="0"/>
          <w:sz w:val="24"/>
        </w:rPr>
        <w:t>：</w:t>
      </w:r>
    </w:p>
    <w:p w14:paraId="533E4F57">
      <w:pPr>
        <w:pageBreakBefore w:val="0"/>
        <w:numPr>
          <w:ilvl w:val="0"/>
          <w:numId w:val="66"/>
        </w:numPr>
        <w:wordWrap/>
        <w:spacing w:before="160" w:after="0"/>
        <w:ind w:left="440" w:right="0" w:hanging="440"/>
        <w:jc w:val="left"/>
        <w:textAlignment w:val="auto"/>
        <w:rPr>
          <w:sz w:val="24"/>
        </w:rPr>
      </w:pPr>
      <w:r>
        <w:rPr>
          <w:rFonts w:ascii="宋体" w:hAnsi="宋体" w:eastAsia="宋体" w:cs="宋体"/>
          <w:b/>
          <w:i w:val="0"/>
          <w:spacing w:val="0"/>
          <w:sz w:val="24"/>
        </w:rPr>
        <w:t>高密度种植</w:t>
      </w:r>
      <w:r>
        <w:rPr>
          <w:rFonts w:ascii="宋体" w:hAnsi="宋体" w:eastAsia="宋体" w:cs="宋体"/>
          <w:b w:val="0"/>
          <w:i w:val="0"/>
          <w:spacing w:val="0"/>
          <w:sz w:val="24"/>
        </w:rPr>
        <w:t>：水草间距小，生长空间受限，易出现生长不均</w:t>
      </w:r>
    </w:p>
    <w:p w14:paraId="03AF27FD">
      <w:pPr>
        <w:pageBreakBefore w:val="0"/>
        <w:numPr>
          <w:ilvl w:val="0"/>
          <w:numId w:val="66"/>
        </w:numPr>
        <w:wordWrap/>
        <w:spacing w:before="160" w:after="0"/>
        <w:ind w:left="440" w:right="0" w:hanging="440"/>
        <w:jc w:val="left"/>
        <w:textAlignment w:val="auto"/>
        <w:rPr>
          <w:sz w:val="24"/>
        </w:rPr>
      </w:pPr>
      <w:r>
        <w:rPr>
          <w:rFonts w:ascii="宋体" w:hAnsi="宋体" w:eastAsia="宋体" w:cs="宋体"/>
          <w:b/>
          <w:i w:val="0"/>
          <w:spacing w:val="0"/>
          <w:sz w:val="24"/>
        </w:rPr>
        <w:t>强光需求</w:t>
      </w:r>
      <w:r>
        <w:rPr>
          <w:rFonts w:ascii="宋体" w:hAnsi="宋体" w:eastAsia="宋体" w:cs="宋体"/>
          <w:b w:val="0"/>
          <w:i w:val="0"/>
          <w:spacing w:val="0"/>
          <w:sz w:val="24"/>
        </w:rPr>
        <w:t>：需要高强度光照（≥6W/L）支持水草快速生长</w:t>
      </w:r>
    </w:p>
    <w:p w14:paraId="0E067948">
      <w:pPr>
        <w:pageBreakBefore w:val="0"/>
        <w:numPr>
          <w:ilvl w:val="0"/>
          <w:numId w:val="66"/>
        </w:numPr>
        <w:wordWrap/>
        <w:spacing w:before="160" w:after="0"/>
        <w:ind w:left="440" w:right="0" w:hanging="440"/>
        <w:jc w:val="left"/>
        <w:textAlignment w:val="auto"/>
        <w:rPr>
          <w:sz w:val="24"/>
        </w:rPr>
      </w:pPr>
      <w:r>
        <w:rPr>
          <w:rFonts w:ascii="宋体" w:hAnsi="宋体" w:eastAsia="宋体" w:cs="宋体"/>
          <w:b/>
          <w:i w:val="0"/>
          <w:spacing w:val="0"/>
          <w:sz w:val="24"/>
        </w:rPr>
        <w:t>CO₂依赖</w:t>
      </w:r>
      <w:r>
        <w:rPr>
          <w:rFonts w:ascii="宋体" w:hAnsi="宋体" w:eastAsia="宋体" w:cs="宋体"/>
          <w:b w:val="0"/>
          <w:i w:val="0"/>
          <w:spacing w:val="0"/>
          <w:sz w:val="24"/>
        </w:rPr>
        <w:t>：依赖较高浓度CO₂（30-40ppm）维持水草健康</w:t>
      </w:r>
    </w:p>
    <w:p w14:paraId="31F2F057">
      <w:pPr>
        <w:pageBreakBefore w:val="0"/>
        <w:numPr>
          <w:ilvl w:val="0"/>
          <w:numId w:val="66"/>
        </w:numPr>
        <w:wordWrap/>
        <w:spacing w:before="160" w:after="0"/>
        <w:ind w:left="440" w:right="0" w:hanging="440"/>
        <w:jc w:val="left"/>
        <w:textAlignment w:val="auto"/>
        <w:rPr>
          <w:sz w:val="24"/>
        </w:rPr>
      </w:pPr>
      <w:r>
        <w:rPr>
          <w:rFonts w:ascii="宋体" w:hAnsi="宋体" w:eastAsia="宋体" w:cs="宋体"/>
          <w:b/>
          <w:i w:val="0"/>
          <w:spacing w:val="0"/>
          <w:sz w:val="24"/>
        </w:rPr>
        <w:t>高维护频率</w:t>
      </w:r>
      <w:r>
        <w:rPr>
          <w:rFonts w:ascii="宋体" w:hAnsi="宋体" w:eastAsia="宋体" w:cs="宋体"/>
          <w:b w:val="0"/>
          <w:i w:val="0"/>
          <w:spacing w:val="0"/>
          <w:sz w:val="24"/>
        </w:rPr>
        <w:t>：需频繁修剪和调整，保持景观对称与层次</w:t>
      </w:r>
    </w:p>
    <w:p w14:paraId="70C0C55C">
      <w:pPr>
        <w:pageBreakBefore w:val="0"/>
        <w:wordWrap/>
        <w:spacing w:before="160" w:after="0"/>
        <w:ind w:left="0" w:right="0"/>
        <w:jc w:val="left"/>
        <w:textAlignment w:val="auto"/>
        <w:rPr>
          <w:sz w:val="24"/>
        </w:rPr>
      </w:pPr>
      <w:r>
        <w:rPr>
          <w:rFonts w:ascii="宋体" w:hAnsi="宋体" w:eastAsia="宋体" w:cs="宋体"/>
          <w:b/>
          <w:i w:val="0"/>
          <w:spacing w:val="0"/>
          <w:sz w:val="24"/>
        </w:rPr>
        <w:t>维护策略</w:t>
      </w:r>
      <w:r>
        <w:rPr>
          <w:rFonts w:ascii="宋体" w:hAnsi="宋体" w:eastAsia="宋体" w:cs="宋体"/>
          <w:b w:val="0"/>
          <w:i w:val="0"/>
          <w:spacing w:val="0"/>
          <w:sz w:val="24"/>
        </w:rPr>
        <w:t>：</w:t>
      </w:r>
    </w:p>
    <w:p w14:paraId="030E5093">
      <w:pPr>
        <w:pageBreakBefore w:val="0"/>
        <w:numPr>
          <w:ilvl w:val="0"/>
          <w:numId w:val="67"/>
        </w:numPr>
        <w:wordWrap/>
        <w:spacing w:before="160" w:after="0"/>
        <w:ind w:left="440" w:right="0" w:hanging="440"/>
        <w:jc w:val="left"/>
        <w:textAlignment w:val="auto"/>
        <w:rPr>
          <w:sz w:val="24"/>
        </w:rPr>
      </w:pPr>
      <w:r>
        <w:rPr>
          <w:rFonts w:ascii="宋体" w:hAnsi="宋体" w:eastAsia="宋体" w:cs="宋体"/>
          <w:b/>
          <w:i w:val="0"/>
          <w:spacing w:val="0"/>
          <w:sz w:val="24"/>
        </w:rPr>
        <w:t>阶梯式布局维护</w:t>
      </w:r>
      <w:r>
        <w:rPr>
          <w:rFonts w:ascii="宋体" w:hAnsi="宋体" w:eastAsia="宋体" w:cs="宋体"/>
          <w:b w:val="0"/>
          <w:i w:val="0"/>
          <w:spacing w:val="0"/>
          <w:sz w:val="24"/>
        </w:rPr>
        <w:t>：利用丙烯板或倾斜底砂维持阶梯式布局，防止水草移位</w:t>
      </w:r>
    </w:p>
    <w:p w14:paraId="4D1E3146">
      <w:pPr>
        <w:pageBreakBefore w:val="0"/>
        <w:numPr>
          <w:ilvl w:val="0"/>
          <w:numId w:val="67"/>
        </w:numPr>
        <w:wordWrap/>
        <w:spacing w:before="160" w:after="0"/>
        <w:ind w:left="440" w:right="0" w:hanging="440"/>
        <w:jc w:val="left"/>
        <w:textAlignment w:val="auto"/>
        <w:rPr>
          <w:sz w:val="24"/>
        </w:rPr>
      </w:pPr>
      <w:r>
        <w:rPr>
          <w:rFonts w:ascii="宋体" w:hAnsi="宋体" w:eastAsia="宋体" w:cs="宋体"/>
          <w:b/>
          <w:i w:val="0"/>
          <w:spacing w:val="0"/>
          <w:sz w:val="24"/>
        </w:rPr>
        <w:t>分区管理</w:t>
      </w:r>
      <w:r>
        <w:rPr>
          <w:rFonts w:ascii="宋体" w:hAnsi="宋体" w:eastAsia="宋体" w:cs="宋体"/>
          <w:b w:val="0"/>
          <w:i w:val="0"/>
          <w:spacing w:val="0"/>
          <w:sz w:val="24"/>
        </w:rPr>
        <w:t>：将缸体分为前、中、后三个区域，分别制定维护策略</w:t>
      </w:r>
    </w:p>
    <w:p w14:paraId="32E5C537">
      <w:pPr>
        <w:pageBreakBefore w:val="0"/>
        <w:numPr>
          <w:ilvl w:val="0"/>
          <w:numId w:val="67"/>
        </w:numPr>
        <w:wordWrap/>
        <w:spacing w:before="160" w:after="0"/>
        <w:ind w:left="440" w:right="0" w:hanging="440"/>
        <w:jc w:val="left"/>
        <w:textAlignment w:val="auto"/>
        <w:rPr>
          <w:sz w:val="24"/>
        </w:rPr>
      </w:pPr>
      <w:r>
        <w:rPr>
          <w:rFonts w:ascii="宋体" w:hAnsi="宋体" w:eastAsia="宋体" w:cs="宋体"/>
          <w:b/>
          <w:i w:val="0"/>
          <w:spacing w:val="0"/>
          <w:sz w:val="24"/>
        </w:rPr>
        <w:t>精确修剪</w:t>
      </w:r>
      <w:r>
        <w:rPr>
          <w:rFonts w:ascii="宋体" w:hAnsi="宋体" w:eastAsia="宋体" w:cs="宋体"/>
          <w:b w:val="0"/>
          <w:i w:val="0"/>
          <w:spacing w:val="0"/>
          <w:sz w:val="24"/>
        </w:rPr>
        <w:t>：使用标准模板确保修剪精度，维持严格对称</w:t>
      </w:r>
    </w:p>
    <w:p w14:paraId="0DED3568">
      <w:pPr>
        <w:pageBreakBefore w:val="0"/>
        <w:numPr>
          <w:ilvl w:val="0"/>
          <w:numId w:val="67"/>
        </w:numPr>
        <w:wordWrap/>
        <w:spacing w:before="160" w:after="0"/>
        <w:ind w:left="440" w:right="0" w:hanging="440"/>
        <w:jc w:val="left"/>
        <w:textAlignment w:val="auto"/>
        <w:rPr>
          <w:sz w:val="24"/>
        </w:rPr>
      </w:pPr>
      <w:r>
        <w:rPr>
          <w:rFonts w:ascii="宋体" w:hAnsi="宋体" w:eastAsia="宋体" w:cs="宋体"/>
          <w:b/>
          <w:i w:val="0"/>
          <w:spacing w:val="0"/>
          <w:sz w:val="24"/>
        </w:rPr>
        <w:t>营养管理</w:t>
      </w:r>
      <w:r>
        <w:rPr>
          <w:rFonts w:ascii="宋体" w:hAnsi="宋体" w:eastAsia="宋体" w:cs="宋体"/>
          <w:b w:val="0"/>
          <w:i w:val="0"/>
          <w:spacing w:val="0"/>
          <w:sz w:val="24"/>
        </w:rPr>
        <w:t>：使用高浓度液肥，确保水草生长所需营养</w:t>
      </w:r>
    </w:p>
    <w:p w14:paraId="612F3EF1">
      <w:pPr>
        <w:pageBreakBefore w:val="0"/>
        <w:wordWrap/>
        <w:spacing w:before="160" w:after="0"/>
        <w:ind w:left="0" w:right="0"/>
        <w:jc w:val="left"/>
        <w:textAlignment w:val="auto"/>
        <w:rPr>
          <w:sz w:val="24"/>
        </w:rPr>
      </w:pPr>
      <w:r>
        <w:rPr>
          <w:rFonts w:ascii="宋体" w:hAnsi="宋体" w:eastAsia="宋体" w:cs="宋体"/>
          <w:b/>
          <w:i w:val="0"/>
          <w:spacing w:val="0"/>
          <w:sz w:val="24"/>
        </w:rPr>
        <w:t>成功案例</w:t>
      </w:r>
      <w:r>
        <w:rPr>
          <w:rFonts w:ascii="宋体" w:hAnsi="宋体" w:eastAsia="宋体" w:cs="宋体"/>
          <w:b w:val="0"/>
          <w:i w:val="0"/>
          <w:spacing w:val="0"/>
          <w:sz w:val="24"/>
        </w:rPr>
        <w:t>：李爽2022年作品《咆哮》采用</w:t>
      </w:r>
      <w:r>
        <w:rPr>
          <w:rFonts w:ascii="宋体" w:hAnsi="宋体" w:eastAsia="宋体" w:cs="宋体"/>
          <w:b/>
          <w:i w:val="0"/>
          <w:spacing w:val="0"/>
          <w:sz w:val="24"/>
        </w:rPr>
        <w:t>珊瑚moss+迷你水兰</w:t>
      </w:r>
      <w:r>
        <w:rPr>
          <w:rFonts w:ascii="宋体" w:hAnsi="宋体" w:eastAsia="宋体" w:cs="宋体"/>
          <w:b w:val="0"/>
          <w:i w:val="0"/>
          <w:spacing w:val="0"/>
          <w:sz w:val="24"/>
        </w:rPr>
        <w:t>组合，通过</w:t>
      </w:r>
      <w:r>
        <w:rPr>
          <w:rFonts w:ascii="宋体" w:hAnsi="宋体" w:eastAsia="宋体" w:cs="宋体"/>
          <w:b/>
          <w:i w:val="0"/>
          <w:spacing w:val="0"/>
          <w:sz w:val="24"/>
        </w:rPr>
        <w:t>每周两次换水</w:t>
      </w:r>
      <w:r>
        <w:rPr>
          <w:rFonts w:ascii="宋体" w:hAnsi="宋体" w:eastAsia="宋体" w:cs="宋体"/>
          <w:b w:val="0"/>
          <w:i w:val="0"/>
          <w:spacing w:val="0"/>
          <w:sz w:val="24"/>
        </w:rPr>
        <w:t>和</w:t>
      </w:r>
      <w:r>
        <w:rPr>
          <w:rFonts w:ascii="宋体" w:hAnsi="宋体" w:eastAsia="宋体" w:cs="宋体"/>
          <w:b/>
          <w:i w:val="0"/>
          <w:spacing w:val="0"/>
          <w:sz w:val="24"/>
        </w:rPr>
        <w:t>高频次修剪</w:t>
      </w:r>
      <w:r>
        <w:rPr>
          <w:rFonts w:ascii="宋体" w:hAnsi="宋体" w:eastAsia="宋体" w:cs="宋体"/>
          <w:b w:val="0"/>
          <w:i w:val="0"/>
          <w:spacing w:val="0"/>
          <w:sz w:val="24"/>
        </w:rPr>
        <w:t>（每日检查），成功维持了荷兰式造景的高密度种植与严格对称，成为荷兰式维护管理的典范。</w:t>
      </w:r>
    </w:p>
    <w:p w14:paraId="57B253F9">
      <w:pPr>
        <w:pageBreakBefore w:val="0"/>
        <w:wordWrap/>
        <w:spacing w:before="160" w:after="0"/>
        <w:ind w:left="0" w:right="0"/>
        <w:jc w:val="left"/>
        <w:textAlignment w:val="auto"/>
        <w:rPr>
          <w:rFonts w:ascii="宋体" w:hAnsi="宋体" w:eastAsia="宋体" w:cs="宋体"/>
          <w:b/>
          <w:i w:val="0"/>
          <w:spacing w:val="0"/>
          <w:sz w:val="24"/>
        </w:rPr>
      </w:pPr>
    </w:p>
    <w:p w14:paraId="3B0BC207">
      <w:pPr>
        <w:pageBreakBefore w:val="0"/>
        <w:wordWrap/>
        <w:spacing w:before="160" w:after="0"/>
        <w:ind w:left="0" w:right="0"/>
        <w:jc w:val="left"/>
        <w:textAlignment w:val="auto"/>
        <w:rPr>
          <w:sz w:val="24"/>
        </w:rPr>
      </w:pPr>
      <w:r>
        <w:rPr>
          <w:rFonts w:ascii="宋体" w:hAnsi="宋体" w:eastAsia="宋体" w:cs="宋体"/>
          <w:b/>
          <w:i w:val="0"/>
          <w:spacing w:val="0"/>
          <w:sz w:val="24"/>
        </w:rPr>
        <w:t>6.2.3 日式枯山水风格</w:t>
      </w:r>
    </w:p>
    <w:p w14:paraId="20A755C2">
      <w:pPr>
        <w:pageBreakBefore w:val="0"/>
        <w:wordWrap/>
        <w:spacing w:before="160" w:after="0"/>
        <w:ind w:left="0" w:right="0"/>
        <w:jc w:val="left"/>
        <w:textAlignment w:val="auto"/>
        <w:rPr>
          <w:sz w:val="24"/>
        </w:rPr>
      </w:pPr>
      <w:r>
        <w:rPr>
          <w:rFonts w:ascii="宋体" w:hAnsi="宋体" w:eastAsia="宋体" w:cs="宋体"/>
          <w:b w:val="0"/>
          <w:i w:val="0"/>
          <w:spacing w:val="0"/>
          <w:sz w:val="24"/>
        </w:rPr>
        <w:t>日式枯山水风格强调</w:t>
      </w:r>
      <w:r>
        <w:rPr>
          <w:rFonts w:ascii="宋体" w:hAnsi="宋体" w:eastAsia="宋体" w:cs="宋体"/>
          <w:b/>
          <w:i w:val="0"/>
          <w:spacing w:val="0"/>
          <w:sz w:val="24"/>
        </w:rPr>
        <w:t>简约、留白和意境</w:t>
      </w:r>
      <w:r>
        <w:rPr>
          <w:rFonts w:ascii="宋体" w:hAnsi="宋体" w:eastAsia="宋体" w:cs="宋体"/>
          <w:b w:val="0"/>
          <w:i w:val="0"/>
          <w:spacing w:val="0"/>
          <w:sz w:val="24"/>
        </w:rPr>
        <w:t>，其维护管理需注重细节处理与氛围营造。</w:t>
      </w:r>
    </w:p>
    <w:p w14:paraId="7441D5F8">
      <w:pPr>
        <w:pageBreakBefore w:val="0"/>
        <w:wordWrap/>
        <w:spacing w:before="160" w:after="0"/>
        <w:ind w:left="0" w:right="0"/>
        <w:jc w:val="left"/>
        <w:textAlignment w:val="auto"/>
        <w:rPr>
          <w:sz w:val="24"/>
        </w:rPr>
      </w:pPr>
      <w:r>
        <w:rPr>
          <w:rFonts w:ascii="宋体" w:hAnsi="宋体" w:eastAsia="宋体" w:cs="宋体"/>
          <w:b/>
          <w:i w:val="0"/>
          <w:spacing w:val="0"/>
          <w:sz w:val="24"/>
        </w:rPr>
        <w:t>维护难点</w:t>
      </w:r>
      <w:r>
        <w:rPr>
          <w:rFonts w:ascii="宋体" w:hAnsi="宋体" w:eastAsia="宋体" w:cs="宋体"/>
          <w:b w:val="0"/>
          <w:i w:val="0"/>
          <w:spacing w:val="0"/>
          <w:sz w:val="24"/>
        </w:rPr>
        <w:t>：</w:t>
      </w:r>
    </w:p>
    <w:p w14:paraId="7670C663">
      <w:pPr>
        <w:pageBreakBefore w:val="0"/>
        <w:numPr>
          <w:ilvl w:val="0"/>
          <w:numId w:val="68"/>
        </w:numPr>
        <w:wordWrap/>
        <w:spacing w:before="160" w:after="0"/>
        <w:ind w:left="440" w:right="0" w:hanging="440"/>
        <w:jc w:val="left"/>
        <w:textAlignment w:val="auto"/>
        <w:rPr>
          <w:sz w:val="24"/>
        </w:rPr>
      </w:pPr>
      <w:r>
        <w:rPr>
          <w:rFonts w:ascii="宋体" w:hAnsi="宋体" w:eastAsia="宋体" w:cs="宋体"/>
          <w:b/>
          <w:i w:val="0"/>
          <w:spacing w:val="0"/>
          <w:sz w:val="24"/>
        </w:rPr>
        <w:t>留白区域维护</w:t>
      </w:r>
      <w:r>
        <w:rPr>
          <w:rFonts w:ascii="宋体" w:hAnsi="宋体" w:eastAsia="宋体" w:cs="宋体"/>
          <w:b w:val="0"/>
          <w:i w:val="0"/>
          <w:spacing w:val="0"/>
          <w:sz w:val="24"/>
        </w:rPr>
        <w:t>：留白区域易成为藻类温床，需特别关注</w:t>
      </w:r>
    </w:p>
    <w:p w14:paraId="7F59CD7A">
      <w:pPr>
        <w:pageBreakBefore w:val="0"/>
        <w:numPr>
          <w:ilvl w:val="0"/>
          <w:numId w:val="68"/>
        </w:numPr>
        <w:wordWrap/>
        <w:spacing w:before="160" w:after="0"/>
        <w:ind w:left="440" w:right="0" w:hanging="440"/>
        <w:jc w:val="left"/>
        <w:textAlignment w:val="auto"/>
        <w:rPr>
          <w:sz w:val="24"/>
        </w:rPr>
      </w:pPr>
      <w:r>
        <w:rPr>
          <w:rFonts w:ascii="宋体" w:hAnsi="宋体" w:eastAsia="宋体" w:cs="宋体"/>
          <w:b/>
          <w:i w:val="0"/>
          <w:spacing w:val="0"/>
          <w:sz w:val="24"/>
        </w:rPr>
        <w:t>线条感保持</w:t>
      </w:r>
      <w:r>
        <w:rPr>
          <w:rFonts w:ascii="宋体" w:hAnsi="宋体" w:eastAsia="宋体" w:cs="宋体"/>
          <w:b w:val="0"/>
          <w:i w:val="0"/>
          <w:spacing w:val="0"/>
          <w:sz w:val="24"/>
        </w:rPr>
        <w:t>：需维持清晰的线条与层次，避免过度生长</w:t>
      </w:r>
    </w:p>
    <w:p w14:paraId="53EBA1B8">
      <w:pPr>
        <w:pageBreakBefore w:val="0"/>
        <w:numPr>
          <w:ilvl w:val="0"/>
          <w:numId w:val="68"/>
        </w:numPr>
        <w:wordWrap/>
        <w:spacing w:before="160" w:after="0"/>
        <w:ind w:left="440" w:right="0" w:hanging="440"/>
        <w:jc w:val="left"/>
        <w:textAlignment w:val="auto"/>
        <w:rPr>
          <w:sz w:val="24"/>
        </w:rPr>
      </w:pPr>
      <w:r>
        <w:rPr>
          <w:rFonts w:ascii="宋体" w:hAnsi="宋体" w:eastAsia="宋体" w:cs="宋体"/>
          <w:b/>
          <w:i w:val="0"/>
          <w:spacing w:val="0"/>
          <w:sz w:val="24"/>
        </w:rPr>
        <w:t>生物选择</w:t>
      </w:r>
      <w:r>
        <w:rPr>
          <w:rFonts w:ascii="宋体" w:hAnsi="宋体" w:eastAsia="宋体" w:cs="宋体"/>
          <w:b w:val="0"/>
          <w:i w:val="0"/>
          <w:spacing w:val="0"/>
          <w:sz w:val="24"/>
        </w:rPr>
        <w:t>：需选择小型、活动范围小的生物，避免破坏意境</w:t>
      </w:r>
    </w:p>
    <w:p w14:paraId="0EDBC0F9">
      <w:pPr>
        <w:pageBreakBefore w:val="0"/>
        <w:wordWrap/>
        <w:spacing w:before="160" w:after="0"/>
        <w:ind w:left="0" w:right="0"/>
        <w:jc w:val="left"/>
        <w:textAlignment w:val="auto"/>
        <w:rPr>
          <w:sz w:val="24"/>
        </w:rPr>
      </w:pPr>
      <w:r>
        <w:rPr>
          <w:rFonts w:ascii="宋体" w:hAnsi="宋体" w:eastAsia="宋体" w:cs="宋体"/>
          <w:b/>
          <w:i w:val="0"/>
          <w:spacing w:val="0"/>
          <w:sz w:val="24"/>
        </w:rPr>
        <w:t>维护策略</w:t>
      </w:r>
      <w:r>
        <w:rPr>
          <w:rFonts w:ascii="宋体" w:hAnsi="宋体" w:eastAsia="宋体" w:cs="宋体"/>
          <w:b w:val="0"/>
          <w:i w:val="0"/>
          <w:spacing w:val="0"/>
          <w:sz w:val="24"/>
        </w:rPr>
        <w:t>：</w:t>
      </w:r>
    </w:p>
    <w:p w14:paraId="41FDD025">
      <w:pPr>
        <w:pageBreakBefore w:val="0"/>
        <w:numPr>
          <w:ilvl w:val="0"/>
          <w:numId w:val="69"/>
        </w:numPr>
        <w:wordWrap/>
        <w:spacing w:before="160" w:after="0"/>
        <w:ind w:left="440" w:right="0" w:hanging="440"/>
        <w:jc w:val="left"/>
        <w:textAlignment w:val="auto"/>
        <w:rPr>
          <w:sz w:val="24"/>
        </w:rPr>
      </w:pPr>
      <w:r>
        <w:rPr>
          <w:rFonts w:ascii="宋体" w:hAnsi="宋体" w:eastAsia="宋体" w:cs="宋体"/>
          <w:b/>
          <w:i w:val="0"/>
          <w:spacing w:val="0"/>
          <w:sz w:val="24"/>
        </w:rPr>
        <w:t>局部强化维护</w:t>
      </w:r>
      <w:r>
        <w:rPr>
          <w:rFonts w:ascii="宋体" w:hAnsi="宋体" w:eastAsia="宋体" w:cs="宋体"/>
          <w:b w:val="0"/>
          <w:i w:val="0"/>
          <w:spacing w:val="0"/>
          <w:sz w:val="24"/>
        </w:rPr>
        <w:t>：对留白区域进行重点维护，增加换水频率和工具生物密度</w:t>
      </w:r>
    </w:p>
    <w:p w14:paraId="3B9B44CF">
      <w:pPr>
        <w:pageBreakBefore w:val="0"/>
        <w:numPr>
          <w:ilvl w:val="0"/>
          <w:numId w:val="69"/>
        </w:numPr>
        <w:wordWrap/>
        <w:spacing w:before="160" w:after="0"/>
        <w:ind w:left="440" w:right="0" w:hanging="440"/>
        <w:jc w:val="left"/>
        <w:textAlignment w:val="auto"/>
        <w:rPr>
          <w:sz w:val="24"/>
        </w:rPr>
      </w:pPr>
      <w:r>
        <w:rPr>
          <w:rFonts w:ascii="宋体" w:hAnsi="宋体" w:eastAsia="宋体" w:cs="宋体"/>
          <w:b/>
          <w:i w:val="0"/>
          <w:spacing w:val="0"/>
          <w:sz w:val="24"/>
        </w:rPr>
        <w:t>线条感控制</w:t>
      </w:r>
      <w:r>
        <w:rPr>
          <w:rFonts w:ascii="宋体" w:hAnsi="宋体" w:eastAsia="宋体" w:cs="宋体"/>
          <w:b w:val="0"/>
          <w:i w:val="0"/>
          <w:spacing w:val="0"/>
          <w:sz w:val="24"/>
        </w:rPr>
        <w:t>：通过定期修剪和调整，保持景观的线条感与层次感</w:t>
      </w:r>
    </w:p>
    <w:p w14:paraId="65A65BD9">
      <w:pPr>
        <w:pageBreakBefore w:val="0"/>
        <w:numPr>
          <w:ilvl w:val="0"/>
          <w:numId w:val="69"/>
        </w:numPr>
        <w:wordWrap/>
        <w:spacing w:before="160" w:after="0"/>
        <w:ind w:left="440" w:right="0" w:hanging="440"/>
        <w:jc w:val="left"/>
        <w:textAlignment w:val="auto"/>
        <w:rPr>
          <w:sz w:val="24"/>
        </w:rPr>
      </w:pPr>
      <w:r>
        <w:rPr>
          <w:rFonts w:ascii="宋体" w:hAnsi="宋体" w:eastAsia="宋体" w:cs="宋体"/>
          <w:b/>
          <w:i w:val="0"/>
          <w:spacing w:val="0"/>
          <w:sz w:val="24"/>
        </w:rPr>
        <w:t>生物密度控制</w:t>
      </w:r>
      <w:r>
        <w:rPr>
          <w:rFonts w:ascii="宋体" w:hAnsi="宋体" w:eastAsia="宋体" w:cs="宋体"/>
          <w:b w:val="0"/>
          <w:i w:val="0"/>
          <w:spacing w:val="0"/>
          <w:sz w:val="24"/>
        </w:rPr>
        <w:t>：生物密度控制在生物负载量的50%以下，以小型生物为主</w:t>
      </w:r>
    </w:p>
    <w:p w14:paraId="1B655CCB">
      <w:pPr>
        <w:pageBreakBefore w:val="0"/>
        <w:numPr>
          <w:ilvl w:val="0"/>
          <w:numId w:val="69"/>
        </w:numPr>
        <w:wordWrap/>
        <w:spacing w:before="160" w:after="0"/>
        <w:ind w:left="440" w:right="0" w:hanging="440"/>
        <w:jc w:val="left"/>
        <w:textAlignment w:val="auto"/>
        <w:rPr>
          <w:sz w:val="24"/>
        </w:rPr>
      </w:pPr>
      <w:r>
        <w:rPr>
          <w:rFonts w:ascii="宋体" w:hAnsi="宋体" w:eastAsia="宋体" w:cs="宋体"/>
          <w:b/>
          <w:i w:val="0"/>
          <w:spacing w:val="0"/>
          <w:sz w:val="24"/>
        </w:rPr>
        <w:t>光影效果优化</w:t>
      </w:r>
      <w:r>
        <w:rPr>
          <w:rFonts w:ascii="宋体" w:hAnsi="宋体" w:eastAsia="宋体" w:cs="宋体"/>
          <w:b w:val="0"/>
          <w:i w:val="0"/>
          <w:spacing w:val="0"/>
          <w:sz w:val="24"/>
        </w:rPr>
        <w:t>：通过调整光照角度和强度，增强枯山水风格的光影效果</w:t>
      </w:r>
    </w:p>
    <w:p w14:paraId="7B279088">
      <w:pPr>
        <w:pageBreakBefore w:val="0"/>
        <w:wordWrap/>
        <w:spacing w:before="160" w:after="0"/>
        <w:ind w:left="0" w:right="0"/>
        <w:jc w:val="left"/>
        <w:textAlignment w:val="auto"/>
        <w:rPr>
          <w:sz w:val="24"/>
        </w:rPr>
      </w:pPr>
      <w:r>
        <w:rPr>
          <w:rFonts w:ascii="宋体" w:hAnsi="宋体" w:eastAsia="宋体" w:cs="宋体"/>
          <w:b/>
          <w:i w:val="0"/>
          <w:spacing w:val="0"/>
          <w:sz w:val="24"/>
        </w:rPr>
        <w:t>成功案例</w:t>
      </w:r>
      <w:r>
        <w:rPr>
          <w:rFonts w:ascii="宋体" w:hAnsi="宋体" w:eastAsia="宋体" w:cs="宋体"/>
          <w:b w:val="0"/>
          <w:i w:val="0"/>
          <w:spacing w:val="0"/>
          <w:sz w:val="24"/>
        </w:rPr>
        <w:t>：2024年"长城杯"国际造景大赛季军林齐的作品，通过</w:t>
      </w:r>
      <w:r>
        <w:rPr>
          <w:rFonts w:ascii="宋体" w:hAnsi="宋体" w:eastAsia="宋体" w:cs="宋体"/>
          <w:b/>
          <w:i w:val="0"/>
          <w:spacing w:val="0"/>
          <w:sz w:val="24"/>
        </w:rPr>
        <w:t>珊瑚莫斯</w:t>
      </w:r>
      <w:r>
        <w:rPr>
          <w:rFonts w:ascii="宋体" w:hAnsi="宋体" w:eastAsia="宋体" w:cs="宋体"/>
          <w:b w:val="0"/>
          <w:i w:val="0"/>
          <w:spacing w:val="0"/>
          <w:sz w:val="24"/>
        </w:rPr>
        <w:t>附着在沉木上，形成细腻的苔藓覆盖，同时通过</w:t>
      </w:r>
      <w:r>
        <w:rPr>
          <w:rFonts w:ascii="宋体" w:hAnsi="宋体" w:eastAsia="宋体" w:cs="宋体"/>
          <w:b/>
          <w:i w:val="0"/>
          <w:spacing w:val="0"/>
          <w:sz w:val="24"/>
        </w:rPr>
        <w:t>三天更换一次水</w:t>
      </w:r>
      <w:r>
        <w:rPr>
          <w:rFonts w:ascii="宋体" w:hAnsi="宋体" w:eastAsia="宋体" w:cs="宋体"/>
          <w:b w:val="0"/>
          <w:i w:val="0"/>
          <w:spacing w:val="0"/>
          <w:sz w:val="24"/>
        </w:rPr>
        <w:t>和</w:t>
      </w:r>
      <w:r>
        <w:rPr>
          <w:rFonts w:ascii="宋体" w:hAnsi="宋体" w:eastAsia="宋体" w:cs="宋体"/>
          <w:b/>
          <w:i w:val="0"/>
          <w:spacing w:val="0"/>
          <w:sz w:val="24"/>
        </w:rPr>
        <w:t>一周修剪一次</w:t>
      </w:r>
      <w:r>
        <w:rPr>
          <w:rFonts w:ascii="宋体" w:hAnsi="宋体" w:eastAsia="宋体" w:cs="宋体"/>
          <w:b w:val="0"/>
          <w:i w:val="0"/>
          <w:spacing w:val="0"/>
          <w:sz w:val="24"/>
        </w:rPr>
        <w:t>的高频次维护，成功模拟了日式枯山水风格的意境与层次。</w:t>
      </w:r>
    </w:p>
    <w:p w14:paraId="42C5468D">
      <w:pPr>
        <w:pageBreakBefore w:val="0"/>
        <w:wordWrap/>
        <w:spacing w:before="160" w:after="0"/>
        <w:ind w:left="0" w:right="0"/>
        <w:jc w:val="left"/>
        <w:textAlignment w:val="auto"/>
        <w:rPr>
          <w:rFonts w:ascii="宋体" w:hAnsi="宋体" w:eastAsia="宋体" w:cs="宋体"/>
          <w:b/>
          <w:i w:val="0"/>
          <w:spacing w:val="0"/>
          <w:sz w:val="24"/>
        </w:rPr>
      </w:pPr>
    </w:p>
    <w:p w14:paraId="7CCAC6AF">
      <w:pPr>
        <w:pageBreakBefore w:val="0"/>
        <w:wordWrap/>
        <w:spacing w:before="160" w:after="0"/>
        <w:ind w:left="0" w:right="0"/>
        <w:jc w:val="left"/>
        <w:textAlignment w:val="auto"/>
        <w:rPr>
          <w:sz w:val="24"/>
        </w:rPr>
      </w:pPr>
      <w:r>
        <w:rPr>
          <w:rFonts w:ascii="宋体" w:hAnsi="宋体" w:eastAsia="宋体" w:cs="宋体"/>
          <w:b/>
          <w:i w:val="0"/>
          <w:spacing w:val="0"/>
          <w:sz w:val="24"/>
        </w:rPr>
        <w:t>6.2.4 创意主题造景（科幻、微型景观）</w:t>
      </w:r>
    </w:p>
    <w:p w14:paraId="3D49BA7B">
      <w:pPr>
        <w:pageBreakBefore w:val="0"/>
        <w:wordWrap/>
        <w:spacing w:before="160" w:after="0"/>
        <w:ind w:left="0" w:right="0"/>
        <w:jc w:val="left"/>
        <w:textAlignment w:val="auto"/>
        <w:rPr>
          <w:sz w:val="24"/>
        </w:rPr>
      </w:pPr>
      <w:r>
        <w:rPr>
          <w:rFonts w:ascii="宋体" w:hAnsi="宋体" w:eastAsia="宋体" w:cs="宋体"/>
          <w:b w:val="0"/>
          <w:i w:val="0"/>
          <w:spacing w:val="0"/>
          <w:sz w:val="24"/>
        </w:rPr>
        <w:t>创意主题造景以</w:t>
      </w:r>
      <w:r>
        <w:rPr>
          <w:rFonts w:ascii="宋体" w:hAnsi="宋体" w:eastAsia="宋体" w:cs="宋体"/>
          <w:b/>
          <w:i w:val="0"/>
          <w:spacing w:val="0"/>
          <w:sz w:val="24"/>
        </w:rPr>
        <w:t>突破常规的想象力</w:t>
      </w:r>
      <w:r>
        <w:rPr>
          <w:rFonts w:ascii="宋体" w:hAnsi="宋体" w:eastAsia="宋体" w:cs="宋体"/>
          <w:b w:val="0"/>
          <w:i w:val="0"/>
          <w:spacing w:val="0"/>
          <w:sz w:val="24"/>
        </w:rPr>
        <w:t>为特色，其维护管理需兼顾创意表达与生态稳定性。</w:t>
      </w:r>
    </w:p>
    <w:p w14:paraId="42E4794C">
      <w:pPr>
        <w:pageBreakBefore w:val="0"/>
        <w:wordWrap/>
        <w:spacing w:before="160" w:after="0"/>
        <w:ind w:left="0" w:right="0"/>
        <w:jc w:val="left"/>
        <w:textAlignment w:val="auto"/>
        <w:rPr>
          <w:sz w:val="24"/>
        </w:rPr>
      </w:pPr>
      <w:r>
        <w:rPr>
          <w:rFonts w:ascii="宋体" w:hAnsi="宋体" w:eastAsia="宋体" w:cs="宋体"/>
          <w:b/>
          <w:i w:val="0"/>
          <w:spacing w:val="0"/>
          <w:sz w:val="24"/>
        </w:rPr>
        <w:t>维护难点</w:t>
      </w:r>
      <w:r>
        <w:rPr>
          <w:rFonts w:ascii="宋体" w:hAnsi="宋体" w:eastAsia="宋体" w:cs="宋体"/>
          <w:b w:val="0"/>
          <w:i w:val="0"/>
          <w:spacing w:val="0"/>
          <w:sz w:val="24"/>
        </w:rPr>
        <w:t>：</w:t>
      </w:r>
    </w:p>
    <w:p w14:paraId="49E6320F">
      <w:pPr>
        <w:pageBreakBefore w:val="0"/>
        <w:numPr>
          <w:ilvl w:val="0"/>
          <w:numId w:val="70"/>
        </w:numPr>
        <w:wordWrap/>
        <w:spacing w:before="160" w:after="0"/>
        <w:ind w:left="440" w:right="0" w:hanging="440"/>
        <w:jc w:val="left"/>
        <w:textAlignment w:val="auto"/>
        <w:rPr>
          <w:sz w:val="24"/>
        </w:rPr>
      </w:pPr>
      <w:r>
        <w:rPr>
          <w:rFonts w:ascii="宋体" w:hAnsi="宋体" w:eastAsia="宋体" w:cs="宋体"/>
          <w:b/>
          <w:i w:val="0"/>
          <w:spacing w:val="0"/>
          <w:sz w:val="24"/>
        </w:rPr>
        <w:t>创意元素稳定性</w:t>
      </w:r>
      <w:r>
        <w:rPr>
          <w:rFonts w:ascii="宋体" w:hAnsi="宋体" w:eastAsia="宋体" w:cs="宋体"/>
          <w:b w:val="0"/>
          <w:i w:val="0"/>
          <w:spacing w:val="0"/>
          <w:sz w:val="24"/>
        </w:rPr>
        <w:t>：创意元素（如3D打印装置、灯光效果）可能影响生态系统稳定性</w:t>
      </w:r>
    </w:p>
    <w:p w14:paraId="723FDD0F">
      <w:pPr>
        <w:pageBreakBefore w:val="0"/>
        <w:numPr>
          <w:ilvl w:val="0"/>
          <w:numId w:val="70"/>
        </w:numPr>
        <w:wordWrap/>
        <w:spacing w:before="160" w:after="0"/>
        <w:ind w:left="440" w:right="0" w:hanging="440"/>
        <w:jc w:val="left"/>
        <w:textAlignment w:val="auto"/>
        <w:rPr>
          <w:sz w:val="24"/>
        </w:rPr>
      </w:pPr>
      <w:r>
        <w:rPr>
          <w:rFonts w:ascii="宋体" w:hAnsi="宋体" w:eastAsia="宋体" w:cs="宋体"/>
          <w:b/>
          <w:i w:val="0"/>
          <w:spacing w:val="0"/>
          <w:sz w:val="24"/>
        </w:rPr>
        <w:t>生物适应性</w:t>
      </w:r>
      <w:r>
        <w:rPr>
          <w:rFonts w:ascii="宋体" w:hAnsi="宋体" w:eastAsia="宋体" w:cs="宋体"/>
          <w:b w:val="0"/>
          <w:i w:val="0"/>
          <w:spacing w:val="0"/>
          <w:sz w:val="24"/>
        </w:rPr>
        <w:t>：创意环境可能不适应常规水生生物，需选择特殊物种</w:t>
      </w:r>
    </w:p>
    <w:p w14:paraId="22A2AA34">
      <w:pPr>
        <w:pageBreakBefore w:val="0"/>
        <w:numPr>
          <w:ilvl w:val="0"/>
          <w:numId w:val="70"/>
        </w:numPr>
        <w:wordWrap/>
        <w:spacing w:before="160" w:after="0"/>
        <w:ind w:left="440" w:right="0" w:hanging="440"/>
        <w:jc w:val="left"/>
        <w:textAlignment w:val="auto"/>
        <w:rPr>
          <w:sz w:val="24"/>
        </w:rPr>
      </w:pPr>
      <w:r>
        <w:rPr>
          <w:rFonts w:ascii="宋体" w:hAnsi="宋体" w:eastAsia="宋体" w:cs="宋体"/>
          <w:b/>
          <w:i w:val="0"/>
          <w:spacing w:val="0"/>
          <w:sz w:val="24"/>
        </w:rPr>
        <w:t>维护复杂度</w:t>
      </w:r>
      <w:r>
        <w:rPr>
          <w:rFonts w:ascii="宋体" w:hAnsi="宋体" w:eastAsia="宋体" w:cs="宋体"/>
          <w:b w:val="0"/>
          <w:i w:val="0"/>
          <w:spacing w:val="0"/>
          <w:sz w:val="24"/>
        </w:rPr>
        <w:t>：创意设计可能增加维护难度，如清洁和调整</w:t>
      </w:r>
    </w:p>
    <w:p w14:paraId="05A87196">
      <w:pPr>
        <w:pageBreakBefore w:val="0"/>
        <w:wordWrap/>
        <w:spacing w:before="160" w:after="0"/>
        <w:ind w:left="0" w:right="0"/>
        <w:jc w:val="left"/>
        <w:textAlignment w:val="auto"/>
        <w:rPr>
          <w:sz w:val="24"/>
        </w:rPr>
      </w:pPr>
      <w:r>
        <w:rPr>
          <w:rFonts w:ascii="宋体" w:hAnsi="宋体" w:eastAsia="宋体" w:cs="宋体"/>
          <w:b/>
          <w:i w:val="0"/>
          <w:spacing w:val="0"/>
          <w:sz w:val="24"/>
        </w:rPr>
        <w:t>维护策略</w:t>
      </w:r>
      <w:r>
        <w:rPr>
          <w:rFonts w:ascii="宋体" w:hAnsi="宋体" w:eastAsia="宋体" w:cs="宋体"/>
          <w:b w:val="0"/>
          <w:i w:val="0"/>
          <w:spacing w:val="0"/>
          <w:sz w:val="24"/>
        </w:rPr>
        <w:t>：</w:t>
      </w:r>
    </w:p>
    <w:p w14:paraId="7D0E9DA3">
      <w:pPr>
        <w:pageBreakBefore w:val="0"/>
        <w:numPr>
          <w:ilvl w:val="0"/>
          <w:numId w:val="71"/>
        </w:numPr>
        <w:wordWrap/>
        <w:spacing w:before="160" w:after="0"/>
        <w:ind w:left="440" w:right="0" w:hanging="440"/>
        <w:jc w:val="left"/>
        <w:textAlignment w:val="auto"/>
        <w:rPr>
          <w:sz w:val="24"/>
        </w:rPr>
      </w:pPr>
      <w:r>
        <w:rPr>
          <w:rFonts w:ascii="宋体" w:hAnsi="宋体" w:eastAsia="宋体" w:cs="宋体"/>
          <w:b/>
          <w:i w:val="0"/>
          <w:spacing w:val="0"/>
          <w:sz w:val="24"/>
        </w:rPr>
        <w:t>创意元素筛选</w:t>
      </w:r>
      <w:r>
        <w:rPr>
          <w:rFonts w:ascii="宋体" w:hAnsi="宋体" w:eastAsia="宋体" w:cs="宋体"/>
          <w:b w:val="0"/>
          <w:i w:val="0"/>
          <w:spacing w:val="0"/>
          <w:sz w:val="24"/>
        </w:rPr>
        <w:t>：选择对水质影响小、易清洁的创意元素</w:t>
      </w:r>
    </w:p>
    <w:p w14:paraId="12E51EC7">
      <w:pPr>
        <w:pageBreakBefore w:val="0"/>
        <w:numPr>
          <w:ilvl w:val="0"/>
          <w:numId w:val="71"/>
        </w:numPr>
        <w:wordWrap/>
        <w:spacing w:before="160" w:after="0"/>
        <w:ind w:left="440" w:right="0" w:hanging="440"/>
        <w:jc w:val="left"/>
        <w:textAlignment w:val="auto"/>
        <w:rPr>
          <w:sz w:val="24"/>
        </w:rPr>
      </w:pPr>
      <w:r>
        <w:rPr>
          <w:rFonts w:ascii="宋体" w:hAnsi="宋体" w:eastAsia="宋体" w:cs="宋体"/>
          <w:b/>
          <w:i w:val="0"/>
          <w:spacing w:val="0"/>
          <w:sz w:val="24"/>
        </w:rPr>
        <w:t>生物选择优化</w:t>
      </w:r>
      <w:r>
        <w:rPr>
          <w:rFonts w:ascii="宋体" w:hAnsi="宋体" w:eastAsia="宋体" w:cs="宋体"/>
          <w:b w:val="0"/>
          <w:i w:val="0"/>
          <w:spacing w:val="0"/>
          <w:sz w:val="24"/>
        </w:rPr>
        <w:t>：根据创意环境特点选择适应性强的生物</w:t>
      </w:r>
    </w:p>
    <w:p w14:paraId="296C7F05">
      <w:pPr>
        <w:pageBreakBefore w:val="0"/>
        <w:numPr>
          <w:ilvl w:val="0"/>
          <w:numId w:val="71"/>
        </w:numPr>
        <w:wordWrap/>
        <w:spacing w:before="160" w:after="0"/>
        <w:ind w:left="440" w:right="0" w:hanging="440"/>
        <w:jc w:val="left"/>
        <w:textAlignment w:val="auto"/>
        <w:rPr>
          <w:sz w:val="24"/>
        </w:rPr>
      </w:pPr>
      <w:r>
        <w:rPr>
          <w:rFonts w:ascii="宋体" w:hAnsi="宋体" w:eastAsia="宋体" w:cs="宋体"/>
          <w:b/>
          <w:i w:val="0"/>
          <w:spacing w:val="0"/>
          <w:sz w:val="24"/>
        </w:rPr>
        <w:t>系统稳定性优先</w:t>
      </w:r>
      <w:r>
        <w:rPr>
          <w:rFonts w:ascii="宋体" w:hAnsi="宋体" w:eastAsia="宋体" w:cs="宋体"/>
          <w:b w:val="0"/>
          <w:i w:val="0"/>
          <w:spacing w:val="0"/>
          <w:sz w:val="24"/>
        </w:rPr>
        <w:t>：创意表达需建立在系统稳定性基础上，不可牺牲生态平衡</w:t>
      </w:r>
    </w:p>
    <w:p w14:paraId="490C9612">
      <w:pPr>
        <w:pageBreakBefore w:val="0"/>
        <w:numPr>
          <w:ilvl w:val="0"/>
          <w:numId w:val="71"/>
        </w:numPr>
        <w:wordWrap/>
        <w:spacing w:before="160" w:after="0"/>
        <w:ind w:left="440" w:right="0" w:hanging="440"/>
        <w:jc w:val="left"/>
        <w:textAlignment w:val="auto"/>
        <w:rPr>
          <w:sz w:val="24"/>
        </w:rPr>
      </w:pPr>
      <w:r>
        <w:rPr>
          <w:rFonts w:ascii="宋体" w:hAnsi="宋体" w:eastAsia="宋体" w:cs="宋体"/>
          <w:b/>
          <w:i w:val="0"/>
          <w:spacing w:val="0"/>
          <w:sz w:val="24"/>
        </w:rPr>
        <w:t>模块化设计</w:t>
      </w:r>
      <w:r>
        <w:rPr>
          <w:rFonts w:ascii="宋体" w:hAnsi="宋体" w:eastAsia="宋体" w:cs="宋体"/>
          <w:b w:val="0"/>
          <w:i w:val="0"/>
          <w:spacing w:val="0"/>
          <w:sz w:val="24"/>
        </w:rPr>
        <w:t>：采用模块化设计，便于局部维护和调整</w:t>
      </w:r>
    </w:p>
    <w:p w14:paraId="4DAB2139">
      <w:pPr>
        <w:pageBreakBefore w:val="0"/>
        <w:wordWrap/>
        <w:spacing w:before="160" w:after="0"/>
        <w:ind w:left="0" w:right="0"/>
        <w:jc w:val="left"/>
        <w:textAlignment w:val="auto"/>
        <w:rPr>
          <w:sz w:val="24"/>
        </w:rPr>
      </w:pPr>
      <w:r>
        <w:rPr>
          <w:rFonts w:ascii="宋体" w:hAnsi="宋体" w:eastAsia="宋体" w:cs="宋体"/>
          <w:b/>
          <w:i w:val="0"/>
          <w:spacing w:val="0"/>
          <w:sz w:val="24"/>
        </w:rPr>
        <w:t>案例警示</w:t>
      </w:r>
      <w:r>
        <w:rPr>
          <w:rFonts w:ascii="宋体" w:hAnsi="宋体" w:eastAsia="宋体" w:cs="宋体"/>
          <w:b w:val="0"/>
          <w:i w:val="0"/>
          <w:spacing w:val="0"/>
          <w:sz w:val="24"/>
        </w:rPr>
        <w:t>：一位爱好者尝试创建"科幻风格"水族造景，使用大量电子元件和强光照明，导致水温波动大、氨氮浓度高，最终系统崩溃。这表明**"创意造景必须建立在科学的生态管理基础上"**，任何创意表达都不可牺牲系统稳定性。</w:t>
      </w:r>
    </w:p>
    <w:p w14:paraId="59F995EA">
      <w:pPr>
        <w:pageBreakBefore w:val="0"/>
        <w:wordWrap/>
        <w:spacing w:before="160" w:after="0"/>
        <w:ind w:left="0" w:right="0"/>
        <w:jc w:val="left"/>
        <w:textAlignment w:val="auto"/>
        <w:rPr>
          <w:rFonts w:ascii="宋体" w:hAnsi="宋体" w:eastAsia="宋体" w:cs="宋体"/>
          <w:b/>
          <w:i w:val="0"/>
          <w:spacing w:val="0"/>
          <w:sz w:val="28"/>
        </w:rPr>
      </w:pPr>
    </w:p>
    <w:p w14:paraId="44F72FD0">
      <w:pPr>
        <w:pageBreakBefore w:val="0"/>
        <w:wordWrap/>
        <w:spacing w:before="160" w:after="0"/>
        <w:ind w:left="0" w:right="0"/>
        <w:jc w:val="left"/>
        <w:textAlignment w:val="auto"/>
        <w:rPr>
          <w:sz w:val="28"/>
        </w:rPr>
      </w:pPr>
      <w:r>
        <w:rPr>
          <w:rFonts w:ascii="宋体" w:hAnsi="宋体" w:eastAsia="宋体" w:cs="宋体"/>
          <w:b/>
          <w:i w:val="0"/>
          <w:spacing w:val="0"/>
          <w:sz w:val="28"/>
        </w:rPr>
        <w:t>6.3 案例总结与启示</w:t>
      </w:r>
    </w:p>
    <w:p w14:paraId="1B8C90B8">
      <w:pPr>
        <w:pageBreakBefore w:val="0"/>
        <w:wordWrap/>
        <w:spacing w:before="160" w:after="0"/>
        <w:ind w:left="0" w:right="0"/>
        <w:jc w:val="left"/>
        <w:textAlignment w:val="auto"/>
        <w:rPr>
          <w:sz w:val="24"/>
        </w:rPr>
      </w:pPr>
      <w:r>
        <w:rPr>
          <w:rFonts w:ascii="宋体" w:hAnsi="宋体" w:eastAsia="宋体" w:cs="宋体"/>
          <w:b w:val="0"/>
          <w:i w:val="0"/>
          <w:spacing w:val="0"/>
          <w:sz w:val="24"/>
        </w:rPr>
        <w:t>通过对国际经典案例和不同风格实践的分析，可提炼出水族造景维护管理的核心要素与常见教训。</w:t>
      </w:r>
    </w:p>
    <w:p w14:paraId="4CFD076A">
      <w:pPr>
        <w:pageBreakBefore w:val="0"/>
        <w:wordWrap/>
        <w:spacing w:before="160" w:after="0"/>
        <w:ind w:left="0" w:right="0"/>
        <w:jc w:val="left"/>
        <w:textAlignment w:val="auto"/>
        <w:rPr>
          <w:sz w:val="24"/>
        </w:rPr>
      </w:pPr>
      <w:r>
        <w:rPr>
          <w:rFonts w:ascii="宋体" w:hAnsi="宋体" w:eastAsia="宋体" w:cs="宋体"/>
          <w:b/>
          <w:i w:val="0"/>
          <w:spacing w:val="0"/>
          <w:sz w:val="24"/>
        </w:rPr>
        <w:t>6.3.1 成功要素提炼</w:t>
      </w:r>
    </w:p>
    <w:p w14:paraId="0A0BA6D6">
      <w:pPr>
        <w:pageBreakBefore w:val="0"/>
        <w:wordWrap/>
        <w:spacing w:before="160" w:after="0"/>
        <w:ind w:left="0" w:right="0"/>
        <w:jc w:val="left"/>
        <w:textAlignment w:val="auto"/>
        <w:rPr>
          <w:sz w:val="24"/>
        </w:rPr>
      </w:pPr>
      <w:r>
        <w:rPr>
          <w:rFonts w:ascii="宋体" w:hAnsi="宋体" w:eastAsia="宋体" w:cs="宋体"/>
          <w:b/>
          <w:i w:val="0"/>
          <w:spacing w:val="0"/>
          <w:sz w:val="24"/>
        </w:rPr>
        <w:t>成功维护管理的五大核心要素</w:t>
      </w:r>
      <w:r>
        <w:rPr>
          <w:rFonts w:ascii="宋体" w:hAnsi="宋体" w:eastAsia="宋体" w:cs="宋体"/>
          <w:b w:val="0"/>
          <w:i w:val="0"/>
          <w:spacing w:val="0"/>
          <w:sz w:val="24"/>
        </w:rPr>
        <w:t>：</w:t>
      </w:r>
    </w:p>
    <w:p w14:paraId="16F93A05">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系统稳定性优先</w:t>
      </w:r>
      <w:r>
        <w:rPr>
          <w:rFonts w:ascii="宋体" w:hAnsi="宋体" w:eastAsia="宋体" w:cs="宋体"/>
          <w:b w:val="0"/>
          <w:i w:val="0"/>
          <w:spacing w:val="0"/>
          <w:sz w:val="24"/>
        </w:rPr>
        <w:t>：所有维护操作都应以保持系统稳定性为首要目标，生态稳定是美学表达的基础。</w:t>
      </w:r>
    </w:p>
    <w:p w14:paraId="66B3EFC2">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参数精细化控制</w:t>
      </w:r>
      <w:r>
        <w:rPr>
          <w:rFonts w:ascii="宋体" w:hAnsi="宋体" w:eastAsia="宋体" w:cs="宋体"/>
          <w:b w:val="0"/>
          <w:i w:val="0"/>
          <w:spacing w:val="0"/>
          <w:sz w:val="24"/>
        </w:rPr>
        <w:t>：对关键水质参数（pH、GH、KH、氨氮、亚硝酸盐、硝酸盐等）进行精细化控制，建立日常监测与记录习惯。</w:t>
      </w:r>
    </w:p>
    <w:p w14:paraId="10504C53">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维护频率科学化</w:t>
      </w:r>
      <w:r>
        <w:rPr>
          <w:rFonts w:ascii="宋体" w:hAnsi="宋体" w:eastAsia="宋体" w:cs="宋体"/>
          <w:b w:val="0"/>
          <w:i w:val="0"/>
          <w:spacing w:val="0"/>
          <w:sz w:val="24"/>
        </w:rPr>
        <w:t>：根据造景风格、缸体规模和生物负载，制定科学的维护频率，避免过度维护或维护不足。</w:t>
      </w:r>
    </w:p>
    <w:p w14:paraId="6356F1DF">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工具生物合理配置</w:t>
      </w:r>
      <w:r>
        <w:rPr>
          <w:rFonts w:ascii="宋体" w:hAnsi="宋体" w:eastAsia="宋体" w:cs="宋体"/>
          <w:b w:val="0"/>
          <w:i w:val="0"/>
          <w:spacing w:val="0"/>
          <w:sz w:val="24"/>
        </w:rPr>
        <w:t>：工具生物（如黑壳虾、螺类）的密度应与造景需求匹配，不可过度依赖或完全依赖。</w:t>
      </w:r>
    </w:p>
    <w:p w14:paraId="214782C6">
      <w:pPr>
        <w:pageBreakBefore w:val="0"/>
        <w:numPr>
          <w:ilvl w:val="0"/>
          <w:numId w:val="33"/>
        </w:numPr>
        <w:wordWrap/>
        <w:spacing w:before="160" w:after="0"/>
        <w:ind w:left="440" w:right="0" w:hanging="440"/>
        <w:jc w:val="left"/>
        <w:textAlignment w:val="auto"/>
        <w:rPr>
          <w:sz w:val="24"/>
        </w:rPr>
      </w:pPr>
      <w:r>
        <w:rPr>
          <w:rFonts w:ascii="宋体" w:hAnsi="宋体" w:eastAsia="宋体" w:cs="宋体"/>
          <w:b/>
          <w:i w:val="0"/>
          <w:spacing w:val="0"/>
          <w:sz w:val="24"/>
        </w:rPr>
        <w:t>预防为主，治疗为辅</w:t>
      </w:r>
      <w:r>
        <w:rPr>
          <w:rFonts w:ascii="宋体" w:hAnsi="宋体" w:eastAsia="宋体" w:cs="宋体"/>
          <w:b w:val="0"/>
          <w:i w:val="0"/>
          <w:spacing w:val="0"/>
          <w:sz w:val="24"/>
        </w:rPr>
        <w:t>：建立完善的预防机制（如光照控制、营养管理、水流优化），将问题消灭在萌芽状态。</w:t>
      </w:r>
    </w:p>
    <w:p w14:paraId="3FF844BC">
      <w:pPr>
        <w:pageBreakBefore w:val="0"/>
        <w:wordWrap/>
        <w:spacing w:before="160" w:after="0"/>
        <w:ind w:left="0" w:right="0"/>
        <w:jc w:val="left"/>
        <w:textAlignment w:val="auto"/>
        <w:rPr>
          <w:rFonts w:hint="eastAsia" w:ascii="宋体" w:hAnsi="宋体" w:eastAsia="宋体" w:cs="宋体"/>
          <w:b/>
          <w:i w:val="0"/>
          <w:spacing w:val="0"/>
          <w:sz w:val="24"/>
          <w:lang w:val="en-US" w:eastAsia="zh-CN"/>
        </w:rPr>
      </w:pPr>
    </w:p>
    <w:p w14:paraId="39507655">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成功案例共性分析</w:t>
      </w:r>
      <w:r>
        <w:rPr>
          <w:rFonts w:ascii="宋体" w:hAnsi="宋体" w:eastAsia="宋体" w:cs="宋体"/>
          <w:b w:val="0"/>
          <w:i w:val="0"/>
          <w:spacing w:val="0"/>
          <w:sz w:val="24"/>
        </w:rPr>
        <w:t>：</w:t>
      </w:r>
    </w:p>
    <w:p w14:paraId="30BC3445">
      <w:pPr>
        <w:pageBreakBefore w:val="0"/>
        <w:wordWrap/>
        <w:spacing w:before="160" w:after="0"/>
        <w:ind w:left="0" w:right="0"/>
        <w:jc w:val="left"/>
        <w:textAlignment w:val="auto"/>
        <w:rPr>
          <w:sz w:val="24"/>
        </w:rPr>
      </w:pPr>
      <w:r>
        <w:rPr>
          <w:rFonts w:ascii="宋体" w:hAnsi="宋体" w:eastAsia="宋体" w:cs="宋体"/>
          <w:b w:val="0"/>
          <w:i w:val="0"/>
          <w:spacing w:val="0"/>
          <w:sz w:val="24"/>
        </w:rPr>
        <w:t>通过分析国际获奖作品，发现成功维护管理的共同特点：</w:t>
      </w:r>
    </w:p>
    <w:p w14:paraId="64C97E46">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定期维护</w:t>
      </w:r>
      <w:r>
        <w:rPr>
          <w:rFonts w:ascii="宋体" w:hAnsi="宋体" w:eastAsia="宋体" w:cs="宋体"/>
          <w:b w:val="0"/>
          <w:i w:val="0"/>
          <w:spacing w:val="0"/>
          <w:sz w:val="24"/>
        </w:rPr>
        <w:t>：获奖作品普遍采用高频次、低强度的维护策略，如每日检查、每周修剪、每月换水</w:t>
      </w:r>
    </w:p>
    <w:p w14:paraId="0C82DDDC">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参数记录</w:t>
      </w:r>
      <w:r>
        <w:rPr>
          <w:rFonts w:ascii="宋体" w:hAnsi="宋体" w:eastAsia="宋体" w:cs="宋体"/>
          <w:b w:val="0"/>
          <w:i w:val="0"/>
          <w:spacing w:val="0"/>
          <w:sz w:val="24"/>
        </w:rPr>
        <w:t>：建立详细的水质参数记录表，分析趋势并提前干预</w:t>
      </w:r>
    </w:p>
    <w:p w14:paraId="7B09837C">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工具选择</w:t>
      </w:r>
      <w:r>
        <w:rPr>
          <w:rFonts w:ascii="宋体" w:hAnsi="宋体" w:eastAsia="宋体" w:cs="宋体"/>
          <w:b w:val="0"/>
          <w:i w:val="0"/>
          <w:spacing w:val="0"/>
          <w:sz w:val="24"/>
        </w:rPr>
        <w:t>：使用专业维护工具（如微米级浮雕背景贴纸、窄边设计缸体），提升维护效率</w:t>
      </w:r>
    </w:p>
    <w:p w14:paraId="20B73DEC">
      <w:pPr>
        <w:pageBreakBefore w:val="0"/>
        <w:numPr>
          <w:ilvl w:val="0"/>
          <w:numId w:val="34"/>
        </w:numPr>
        <w:wordWrap/>
        <w:spacing w:before="160" w:after="0"/>
        <w:ind w:left="440" w:right="0" w:hanging="440"/>
        <w:jc w:val="left"/>
        <w:textAlignment w:val="auto"/>
        <w:rPr>
          <w:sz w:val="24"/>
        </w:rPr>
      </w:pPr>
      <w:r>
        <w:rPr>
          <w:rFonts w:ascii="宋体" w:hAnsi="宋体" w:eastAsia="宋体" w:cs="宋体"/>
          <w:b/>
          <w:i w:val="0"/>
          <w:spacing w:val="0"/>
          <w:sz w:val="24"/>
        </w:rPr>
        <w:t>生物适配</w:t>
      </w:r>
      <w:r>
        <w:rPr>
          <w:rFonts w:ascii="宋体" w:hAnsi="宋体" w:eastAsia="宋体" w:cs="宋体"/>
          <w:b w:val="0"/>
          <w:i w:val="0"/>
          <w:spacing w:val="0"/>
          <w:sz w:val="24"/>
        </w:rPr>
        <w:t>：严格遵循生物适配原则，选择与造景风格和环境参数匹配的生物</w:t>
      </w:r>
    </w:p>
    <w:p w14:paraId="6B9F12DE">
      <w:pPr>
        <w:pageBreakBefore w:val="0"/>
        <w:wordWrap/>
        <w:spacing w:before="160" w:after="0"/>
        <w:ind w:left="0" w:right="0"/>
        <w:jc w:val="left"/>
        <w:textAlignment w:val="auto"/>
        <w:rPr>
          <w:rFonts w:ascii="宋体" w:hAnsi="宋体" w:eastAsia="宋体" w:cs="宋体"/>
          <w:b/>
          <w:i w:val="0"/>
          <w:spacing w:val="0"/>
          <w:sz w:val="24"/>
        </w:rPr>
      </w:pPr>
    </w:p>
    <w:p w14:paraId="7CED2218">
      <w:pPr>
        <w:pageBreakBefore w:val="0"/>
        <w:wordWrap/>
        <w:spacing w:before="160" w:after="0"/>
        <w:ind w:left="0" w:right="0"/>
        <w:jc w:val="left"/>
        <w:textAlignment w:val="auto"/>
        <w:rPr>
          <w:sz w:val="24"/>
        </w:rPr>
      </w:pPr>
      <w:r>
        <w:rPr>
          <w:rFonts w:ascii="宋体" w:hAnsi="宋体" w:eastAsia="宋体" w:cs="宋体"/>
          <w:b/>
          <w:i w:val="0"/>
          <w:spacing w:val="0"/>
          <w:sz w:val="24"/>
        </w:rPr>
        <w:t>6.3.2 失败案例教训</w:t>
      </w:r>
    </w:p>
    <w:p w14:paraId="6C4D3432">
      <w:pPr>
        <w:pageBreakBefore w:val="0"/>
        <w:wordWrap/>
        <w:spacing w:before="160" w:after="0"/>
        <w:ind w:left="0" w:right="0"/>
        <w:jc w:val="left"/>
        <w:textAlignment w:val="auto"/>
        <w:rPr>
          <w:sz w:val="24"/>
        </w:rPr>
      </w:pPr>
      <w:r>
        <w:rPr>
          <w:rFonts w:ascii="宋体" w:hAnsi="宋体" w:eastAsia="宋体" w:cs="宋体"/>
          <w:b/>
          <w:i w:val="0"/>
          <w:spacing w:val="0"/>
          <w:sz w:val="24"/>
        </w:rPr>
        <w:t>失败案例的四大共性教训</w:t>
      </w:r>
      <w:r>
        <w:rPr>
          <w:rFonts w:ascii="宋体" w:hAnsi="宋体" w:eastAsia="宋体" w:cs="宋体"/>
          <w:b w:val="0"/>
          <w:i w:val="0"/>
          <w:spacing w:val="0"/>
          <w:sz w:val="24"/>
        </w:rPr>
        <w:t>：</w:t>
      </w:r>
    </w:p>
    <w:p w14:paraId="0F4C24B0">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硝化系统崩溃</w:t>
      </w:r>
      <w:r>
        <w:rPr>
          <w:rFonts w:ascii="宋体" w:hAnsi="宋体" w:eastAsia="宋体" w:cs="宋体"/>
          <w:b w:val="0"/>
          <w:i w:val="0"/>
          <w:spacing w:val="0"/>
          <w:sz w:val="24"/>
        </w:rPr>
        <w:t>：2024年一位爱好者因每周用自来水冲洗生物滤材导致硝化系统崩溃，氨氮浓度24小时内从0.01mg/L飙升至0.2mg/L，最终导致缸内生物死亡。</w:t>
      </w:r>
      <w:r>
        <w:rPr>
          <w:rFonts w:ascii="宋体" w:hAnsi="宋体" w:eastAsia="宋体" w:cs="宋体"/>
          <w:b/>
          <w:i w:val="0"/>
          <w:spacing w:val="0"/>
          <w:sz w:val="24"/>
        </w:rPr>
        <w:t>教训</w:t>
      </w:r>
      <w:r>
        <w:rPr>
          <w:rFonts w:ascii="宋体" w:hAnsi="宋体" w:eastAsia="宋体" w:cs="宋体"/>
          <w:b w:val="0"/>
          <w:i w:val="0"/>
          <w:spacing w:val="0"/>
          <w:sz w:val="24"/>
        </w:rPr>
        <w:t>：生物滤材清洗频率过高会破坏硝化细菌，应使用原缸水轻柔冲洗，保留部分菌群。</w:t>
      </w:r>
    </w:p>
    <w:p w14:paraId="1E91B7F9">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过度清洁导致藻类爆发</w:t>
      </w:r>
      <w:r>
        <w:rPr>
          <w:rFonts w:ascii="宋体" w:hAnsi="宋体" w:eastAsia="宋体" w:cs="宋体"/>
          <w:b w:val="0"/>
          <w:i w:val="0"/>
          <w:spacing w:val="0"/>
          <w:sz w:val="24"/>
        </w:rPr>
        <w:t>：一位爱好者过度依赖工具鱼虾控制藻类，忽视了根源控制，最终导致藻类爆发。</w:t>
      </w:r>
      <w:r>
        <w:rPr>
          <w:rFonts w:ascii="宋体" w:hAnsi="宋体" w:eastAsia="宋体" w:cs="宋体"/>
          <w:b/>
          <w:i w:val="0"/>
          <w:spacing w:val="0"/>
          <w:sz w:val="24"/>
        </w:rPr>
        <w:t>教训</w:t>
      </w:r>
      <w:r>
        <w:rPr>
          <w:rFonts w:ascii="宋体" w:hAnsi="宋体" w:eastAsia="宋体" w:cs="宋体"/>
          <w:b w:val="0"/>
          <w:i w:val="0"/>
          <w:spacing w:val="0"/>
          <w:sz w:val="24"/>
        </w:rPr>
        <w:t>：工具生物的控藻能力有限，无法替代科学的光照和营养管理。</w:t>
      </w:r>
    </w:p>
    <w:p w14:paraId="1CB61932">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水流设计不当导致死水区</w:t>
      </w:r>
      <w:r>
        <w:rPr>
          <w:rFonts w:ascii="宋体" w:hAnsi="宋体" w:eastAsia="宋体" w:cs="宋体"/>
          <w:b w:val="0"/>
          <w:i w:val="0"/>
          <w:spacing w:val="0"/>
          <w:sz w:val="24"/>
        </w:rPr>
        <w:t>：一位爱好者在溪流缸设计中未合理规划水流路径，导致缸底角落形成死水区，成为藻类温床。</w:t>
      </w:r>
      <w:r>
        <w:rPr>
          <w:rFonts w:ascii="宋体" w:hAnsi="宋体" w:eastAsia="宋体" w:cs="宋体"/>
          <w:b/>
          <w:i w:val="0"/>
          <w:spacing w:val="0"/>
          <w:sz w:val="24"/>
        </w:rPr>
        <w:t>教训</w:t>
      </w:r>
      <w:r>
        <w:rPr>
          <w:rFonts w:ascii="宋体" w:hAnsi="宋体" w:eastAsia="宋体" w:cs="宋体"/>
          <w:b w:val="0"/>
          <w:i w:val="0"/>
          <w:spacing w:val="0"/>
          <w:sz w:val="24"/>
        </w:rPr>
        <w:t>：水流设计必须确保全缸均匀流动，无死水区，水流速度≥2cm/s。</w:t>
      </w:r>
    </w:p>
    <w:p w14:paraId="477B18A5">
      <w:pPr>
        <w:pageBreakBefore w:val="0"/>
        <w:numPr>
          <w:ilvl w:val="0"/>
          <w:numId w:val="35"/>
        </w:numPr>
        <w:wordWrap/>
        <w:spacing w:before="160" w:after="0"/>
        <w:ind w:left="440" w:right="0" w:hanging="440"/>
        <w:jc w:val="left"/>
        <w:textAlignment w:val="auto"/>
        <w:rPr>
          <w:sz w:val="24"/>
        </w:rPr>
      </w:pPr>
      <w:r>
        <w:rPr>
          <w:rFonts w:ascii="宋体" w:hAnsi="宋体" w:eastAsia="宋体" w:cs="宋体"/>
          <w:b/>
          <w:i w:val="0"/>
          <w:spacing w:val="0"/>
          <w:sz w:val="24"/>
        </w:rPr>
        <w:t>未养水直接放鱼</w:t>
      </w:r>
      <w:r>
        <w:rPr>
          <w:rFonts w:ascii="宋体" w:hAnsi="宋体" w:eastAsia="宋体" w:cs="宋体"/>
          <w:b w:val="0"/>
          <w:i w:val="0"/>
          <w:spacing w:val="0"/>
          <w:sz w:val="24"/>
        </w:rPr>
        <w:t>：一位爱好者开缸第一天就直接放入鱼，未经历养水过程，导致鱼类快速死亡。</w:t>
      </w:r>
      <w:r>
        <w:rPr>
          <w:rFonts w:ascii="宋体" w:hAnsi="宋体" w:eastAsia="宋体" w:cs="宋体"/>
          <w:b/>
          <w:i w:val="0"/>
          <w:spacing w:val="0"/>
          <w:sz w:val="24"/>
        </w:rPr>
        <w:t>教训</w:t>
      </w:r>
      <w:r>
        <w:rPr>
          <w:rFonts w:ascii="宋体" w:hAnsi="宋体" w:eastAsia="宋体" w:cs="宋体"/>
          <w:b w:val="0"/>
          <w:i w:val="0"/>
          <w:spacing w:val="0"/>
          <w:sz w:val="24"/>
        </w:rPr>
        <w:t>：养水是开缸的核心环节，新缸需经历1-2周的养水期，建立稳定的硝化系统。</w:t>
      </w:r>
    </w:p>
    <w:p w14:paraId="67098AD4">
      <w:pPr>
        <w:pageBreakBefore w:val="0"/>
        <w:wordWrap/>
        <w:spacing w:before="160" w:after="0"/>
        <w:ind w:left="0" w:right="0"/>
        <w:jc w:val="left"/>
        <w:textAlignment w:val="auto"/>
        <w:rPr>
          <w:rFonts w:ascii="宋体" w:hAnsi="宋体" w:eastAsia="宋体" w:cs="宋体"/>
          <w:b/>
          <w:i w:val="0"/>
          <w:spacing w:val="0"/>
          <w:sz w:val="24"/>
        </w:rPr>
      </w:pPr>
    </w:p>
    <w:p w14:paraId="2498C5CA">
      <w:pPr>
        <w:pageBreakBefore w:val="0"/>
        <w:wordWrap/>
        <w:spacing w:before="160" w:after="0"/>
        <w:ind w:left="0" w:right="0"/>
        <w:jc w:val="left"/>
        <w:textAlignment w:val="auto"/>
        <w:rPr>
          <w:sz w:val="24"/>
        </w:rPr>
      </w:pPr>
      <w:r>
        <w:rPr>
          <w:rFonts w:ascii="宋体" w:hAnsi="宋体" w:eastAsia="宋体" w:cs="宋体"/>
          <w:b/>
          <w:i w:val="0"/>
          <w:spacing w:val="0"/>
          <w:sz w:val="24"/>
        </w:rPr>
        <w:t>维护管理常见误区</w:t>
      </w:r>
      <w:r>
        <w:rPr>
          <w:rFonts w:ascii="宋体" w:hAnsi="宋体" w:eastAsia="宋体" w:cs="宋体"/>
          <w:b w:val="0"/>
          <w:i w:val="0"/>
          <w:spacing w:val="0"/>
          <w:sz w:val="24"/>
        </w:rPr>
        <w:t>：</w:t>
      </w:r>
    </w:p>
    <w:p w14:paraId="528C71BA">
      <w:pPr>
        <w:pageBreakBefore w:val="0"/>
        <w:wordWrap/>
        <w:spacing w:before="160" w:after="0"/>
        <w:ind w:left="0" w:right="0"/>
        <w:jc w:val="left"/>
        <w:textAlignment w:val="auto"/>
        <w:rPr>
          <w:sz w:val="24"/>
        </w:rPr>
      </w:pPr>
      <w:r>
        <w:rPr>
          <w:rFonts w:ascii="宋体" w:hAnsi="宋体" w:eastAsia="宋体" w:cs="宋体"/>
          <w:b w:val="0"/>
          <w:i w:val="0"/>
          <w:spacing w:val="0"/>
          <w:sz w:val="24"/>
        </w:rPr>
        <w:t>通过分析失败案例，总结出以下维护管理误区：</w:t>
      </w:r>
    </w:p>
    <w:p w14:paraId="33D38FC7">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过度依赖工具生物</w:t>
      </w:r>
      <w:r>
        <w:rPr>
          <w:rFonts w:ascii="宋体" w:hAnsi="宋体" w:eastAsia="宋体" w:cs="宋体"/>
          <w:b w:val="0"/>
          <w:i w:val="0"/>
          <w:spacing w:val="0"/>
          <w:sz w:val="24"/>
        </w:rPr>
        <w:t>：认为引入大量工具生物（如黑壳虾）即可解决所有问题，忽视了环境参数控制</w:t>
      </w:r>
    </w:p>
    <w:p w14:paraId="29FD8D2E">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忽视换水水质</w:t>
      </w:r>
      <w:r>
        <w:rPr>
          <w:rFonts w:ascii="宋体" w:hAnsi="宋体" w:eastAsia="宋体" w:cs="宋体"/>
          <w:b w:val="0"/>
          <w:i w:val="0"/>
          <w:spacing w:val="0"/>
          <w:sz w:val="24"/>
        </w:rPr>
        <w:t>：未将新水困24-48小时，直接使用自来水，导致余氯伤害生物</w:t>
      </w:r>
    </w:p>
    <w:p w14:paraId="795B9650">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过度追求美观</w:t>
      </w:r>
      <w:r>
        <w:rPr>
          <w:rFonts w:ascii="宋体" w:hAnsi="宋体" w:eastAsia="宋体" w:cs="宋体"/>
          <w:b w:val="0"/>
          <w:i w:val="0"/>
          <w:spacing w:val="0"/>
          <w:sz w:val="24"/>
        </w:rPr>
        <w:t>：为追求视觉效果，过度种植水草或引入过多生物，超出系统承载能力</w:t>
      </w:r>
    </w:p>
    <w:p w14:paraId="06A16F56">
      <w:pPr>
        <w:pageBreakBefore w:val="0"/>
        <w:numPr>
          <w:ilvl w:val="0"/>
          <w:numId w:val="36"/>
        </w:numPr>
        <w:wordWrap/>
        <w:spacing w:before="160" w:after="0"/>
        <w:ind w:left="440" w:right="0" w:hanging="440"/>
        <w:jc w:val="left"/>
        <w:textAlignment w:val="auto"/>
        <w:rPr>
          <w:sz w:val="24"/>
        </w:rPr>
      </w:pPr>
      <w:r>
        <w:rPr>
          <w:rFonts w:ascii="宋体" w:hAnsi="宋体" w:eastAsia="宋体" w:cs="宋体"/>
          <w:b/>
          <w:i w:val="0"/>
          <w:spacing w:val="0"/>
          <w:sz w:val="24"/>
        </w:rPr>
        <w:t>缺乏长期规划</w:t>
      </w:r>
      <w:r>
        <w:rPr>
          <w:rFonts w:ascii="宋体" w:hAnsi="宋体" w:eastAsia="宋体" w:cs="宋体"/>
          <w:b w:val="0"/>
          <w:i w:val="0"/>
          <w:spacing w:val="0"/>
          <w:sz w:val="24"/>
        </w:rPr>
        <w:t>：未建立系统的长期维护计划，仅凭经验随意操作，导致问题累积</w:t>
      </w:r>
    </w:p>
    <w:p w14:paraId="17202739">
      <w:pPr>
        <w:pageBreakBefore w:val="0"/>
        <w:wordWrap/>
        <w:spacing w:before="160" w:after="0"/>
        <w:ind w:left="0" w:right="0"/>
        <w:jc w:val="left"/>
        <w:textAlignment w:val="auto"/>
        <w:rPr>
          <w:rFonts w:ascii="宋体" w:hAnsi="宋体" w:eastAsia="宋体" w:cs="宋体"/>
          <w:b/>
          <w:i w:val="0"/>
          <w:spacing w:val="0"/>
          <w:sz w:val="24"/>
        </w:rPr>
      </w:pPr>
    </w:p>
    <w:p w14:paraId="01B919DE">
      <w:pPr>
        <w:pageBreakBefore w:val="0"/>
        <w:wordWrap/>
        <w:spacing w:before="160" w:after="0"/>
        <w:ind w:left="0" w:right="0"/>
        <w:jc w:val="left"/>
        <w:textAlignment w:val="auto"/>
        <w:rPr>
          <w:sz w:val="24"/>
        </w:rPr>
      </w:pPr>
      <w:r>
        <w:rPr>
          <w:rFonts w:ascii="宋体" w:hAnsi="宋体" w:eastAsia="宋体" w:cs="宋体"/>
          <w:b/>
          <w:i w:val="0"/>
          <w:spacing w:val="0"/>
          <w:sz w:val="24"/>
        </w:rPr>
        <w:t>维护管理艺术与科学的平衡</w:t>
      </w:r>
      <w:r>
        <w:rPr>
          <w:rFonts w:ascii="宋体" w:hAnsi="宋体" w:eastAsia="宋体" w:cs="宋体"/>
          <w:b w:val="0"/>
          <w:i w:val="0"/>
          <w:spacing w:val="0"/>
          <w:sz w:val="24"/>
        </w:rPr>
        <w:t>：</w:t>
      </w:r>
    </w:p>
    <w:p w14:paraId="7B1BB7F2">
      <w:pPr>
        <w:pageBreakBefore w:val="0"/>
        <w:wordWrap/>
        <w:spacing w:before="160" w:after="0"/>
        <w:ind w:left="0" w:right="0"/>
        <w:jc w:val="left"/>
        <w:textAlignment w:val="auto"/>
        <w:rPr>
          <w:sz w:val="24"/>
        </w:rPr>
      </w:pPr>
      <w:r>
        <w:rPr>
          <w:rFonts w:ascii="宋体" w:hAnsi="宋体" w:eastAsia="宋体" w:cs="宋体"/>
          <w:b w:val="0"/>
          <w:i w:val="0"/>
          <w:spacing w:val="0"/>
          <w:sz w:val="24"/>
        </w:rPr>
        <w:t>成功的水族造景维护管理需要在艺术与科学之间找到平衡：</w:t>
      </w:r>
    </w:p>
    <w:p w14:paraId="0B0F7FB2">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科学是基础</w:t>
      </w:r>
      <w:r>
        <w:rPr>
          <w:rFonts w:ascii="宋体" w:hAnsi="宋体" w:eastAsia="宋体" w:cs="宋体"/>
          <w:b w:val="0"/>
          <w:i w:val="0"/>
          <w:spacing w:val="0"/>
          <w:sz w:val="24"/>
        </w:rPr>
        <w:t>：必须理解并尊重水族箱的生态规律，通过科学方法维持系统稳定</w:t>
      </w:r>
    </w:p>
    <w:p w14:paraId="1FF4F311">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艺术是表达</w:t>
      </w:r>
      <w:r>
        <w:rPr>
          <w:rFonts w:ascii="宋体" w:hAnsi="宋体" w:eastAsia="宋体" w:cs="宋体"/>
          <w:b w:val="0"/>
          <w:i w:val="0"/>
          <w:spacing w:val="0"/>
          <w:sz w:val="24"/>
        </w:rPr>
        <w:t>：在系统稳定的基础上，通过精心设计的维护操作，不断提升景观的美学价值</w:t>
      </w:r>
    </w:p>
    <w:p w14:paraId="193516F5">
      <w:pPr>
        <w:pageBreakBefore w:val="0"/>
        <w:numPr>
          <w:ilvl w:val="0"/>
          <w:numId w:val="37"/>
        </w:numPr>
        <w:wordWrap/>
        <w:spacing w:before="160" w:after="0"/>
        <w:ind w:left="440" w:right="0" w:hanging="440"/>
        <w:jc w:val="left"/>
        <w:textAlignment w:val="auto"/>
        <w:rPr>
          <w:sz w:val="24"/>
        </w:rPr>
      </w:pPr>
      <w:r>
        <w:rPr>
          <w:rFonts w:ascii="宋体" w:hAnsi="宋体" w:eastAsia="宋体" w:cs="宋体"/>
          <w:b/>
          <w:i w:val="0"/>
          <w:spacing w:val="0"/>
          <w:sz w:val="24"/>
        </w:rPr>
        <w:t>两者缺一不可</w:t>
      </w:r>
      <w:r>
        <w:rPr>
          <w:rFonts w:ascii="宋体" w:hAnsi="宋体" w:eastAsia="宋体" w:cs="宋体"/>
          <w:b w:val="0"/>
          <w:i w:val="0"/>
          <w:spacing w:val="0"/>
          <w:sz w:val="24"/>
        </w:rPr>
        <w:t>：仅有科学而无艺术，造景会沦为功能性容器；仅有艺术而无科学，造景会迅速崩溃</w:t>
      </w:r>
    </w:p>
    <w:p w14:paraId="74006709">
      <w:pPr>
        <w:pageBreakBefore w:val="0"/>
        <w:wordWrap/>
        <w:spacing w:before="160" w:after="0"/>
        <w:ind w:left="0" w:right="0"/>
        <w:jc w:val="left"/>
        <w:textAlignment w:val="auto"/>
        <w:rPr>
          <w:rFonts w:ascii="宋体" w:hAnsi="宋体" w:eastAsia="宋体" w:cs="宋体"/>
          <w:b/>
          <w:i w:val="0"/>
          <w:spacing w:val="0"/>
          <w:sz w:val="36"/>
        </w:rPr>
      </w:pPr>
    </w:p>
    <w:p w14:paraId="4CAE8F66">
      <w:pPr>
        <w:pageBreakBefore w:val="0"/>
        <w:wordWrap/>
        <w:spacing w:before="160" w:after="0"/>
        <w:ind w:left="0" w:right="0"/>
        <w:jc w:val="left"/>
        <w:textAlignment w:val="auto"/>
        <w:rPr>
          <w:rFonts w:ascii="宋体" w:hAnsi="宋体" w:eastAsia="宋体" w:cs="宋体"/>
          <w:b/>
          <w:i w:val="0"/>
          <w:spacing w:val="0"/>
          <w:sz w:val="36"/>
        </w:rPr>
      </w:pPr>
    </w:p>
    <w:p w14:paraId="01C742B6">
      <w:pPr>
        <w:pageBreakBefore w:val="0"/>
        <w:wordWrap/>
        <w:spacing w:before="160" w:after="0"/>
        <w:ind w:left="0" w:right="0"/>
        <w:jc w:val="left"/>
        <w:textAlignment w:val="auto"/>
        <w:rPr>
          <w:sz w:val="36"/>
        </w:rPr>
      </w:pPr>
      <w:r>
        <w:rPr>
          <w:rFonts w:ascii="宋体" w:hAnsi="宋体" w:eastAsia="宋体" w:cs="宋体"/>
          <w:b/>
          <w:i w:val="0"/>
          <w:spacing w:val="0"/>
          <w:sz w:val="36"/>
        </w:rPr>
        <w:t>7 行业现状与未来趋势</w:t>
      </w:r>
    </w:p>
    <w:p w14:paraId="27B8717C">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水族造景行业正经历从</w:t>
      </w:r>
      <w:r>
        <w:rPr>
          <w:rFonts w:ascii="宋体" w:hAnsi="宋体" w:eastAsia="宋体" w:cs="宋体"/>
          <w:b/>
          <w:i w:val="0"/>
          <w:spacing w:val="0"/>
          <w:sz w:val="24"/>
        </w:rPr>
        <w:t>传统观赏向生态艺术与科技融合</w:t>
      </w:r>
      <w:r>
        <w:rPr>
          <w:rFonts w:ascii="宋体" w:hAnsi="宋体" w:eastAsia="宋体" w:cs="宋体"/>
          <w:b w:val="0"/>
          <w:i w:val="0"/>
          <w:spacing w:val="0"/>
          <w:sz w:val="24"/>
        </w:rPr>
        <w:t>的转型，市场规模持续扩大，技术不断创新，消费者需求日益多元化。本章将从产业链结构、市场规模与增长潜力、消费者需求变化，以及技术发展趋势、环保法规影响、消费者教育需求和全球化竞争与合作等方面，全面分析水族造景行业的现状与未来趋势。</w:t>
      </w:r>
    </w:p>
    <w:p w14:paraId="446B1857">
      <w:pPr>
        <w:pageBreakBefore w:val="0"/>
        <w:wordWrap/>
        <w:spacing w:before="160" w:after="0"/>
        <w:ind w:left="0" w:right="0"/>
        <w:jc w:val="left"/>
        <w:textAlignment w:val="auto"/>
        <w:rPr>
          <w:sz w:val="28"/>
        </w:rPr>
      </w:pPr>
      <w:r>
        <w:rPr>
          <w:rFonts w:ascii="宋体" w:hAnsi="宋体" w:eastAsia="宋体" w:cs="宋体"/>
          <w:b/>
          <w:i w:val="0"/>
          <w:spacing w:val="0"/>
          <w:sz w:val="28"/>
        </w:rPr>
        <w:t>7.1 产业链分析</w:t>
      </w:r>
    </w:p>
    <w:p w14:paraId="68ADB864">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水族造景行业已形成完整的产业链，涵盖上游原材料、中游产品与服务、下游应用场景三大环节，各环节相互依存、协同发展。</w:t>
      </w:r>
    </w:p>
    <w:p w14:paraId="1336F9FC">
      <w:pPr>
        <w:pageBreakBefore w:val="0"/>
        <w:wordWrap/>
        <w:spacing w:before="160" w:after="0"/>
        <w:ind w:left="0" w:right="0"/>
        <w:jc w:val="left"/>
        <w:textAlignment w:val="auto"/>
        <w:rPr>
          <w:sz w:val="24"/>
        </w:rPr>
      </w:pPr>
      <w:r>
        <w:rPr>
          <w:rFonts w:ascii="宋体" w:hAnsi="宋体" w:eastAsia="宋体" w:cs="宋体"/>
          <w:b/>
          <w:i w:val="0"/>
          <w:spacing w:val="0"/>
          <w:sz w:val="24"/>
        </w:rPr>
        <w:t>7.1.1 上下游产业（设备制造、水草培育、服务业）</w:t>
      </w:r>
    </w:p>
    <w:p w14:paraId="4B843DD0">
      <w:pPr>
        <w:pageBreakBefore w:val="0"/>
        <w:wordWrap/>
        <w:spacing w:before="160" w:after="0"/>
        <w:ind w:left="0" w:right="0"/>
        <w:jc w:val="left"/>
        <w:textAlignment w:val="auto"/>
        <w:rPr>
          <w:sz w:val="24"/>
        </w:rPr>
      </w:pPr>
      <w:r>
        <w:rPr>
          <w:rFonts w:ascii="宋体" w:hAnsi="宋体" w:eastAsia="宋体" w:cs="宋体"/>
          <w:b/>
          <w:i w:val="0"/>
          <w:spacing w:val="0"/>
          <w:sz w:val="24"/>
        </w:rPr>
        <w:t>上游原材料</w:t>
      </w:r>
      <w:r>
        <w:rPr>
          <w:rFonts w:ascii="宋体" w:hAnsi="宋体" w:eastAsia="宋体" w:cs="宋体"/>
          <w:b w:val="0"/>
          <w:i w:val="0"/>
          <w:spacing w:val="0"/>
          <w:sz w:val="24"/>
        </w:rPr>
        <w:t>：</w:t>
      </w:r>
    </w:p>
    <w:p w14:paraId="4FCEF4B8">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水族造景上游原材料主要包括玻璃原片、LED芯片、水草种源、沉木石材等。</w:t>
      </w:r>
    </w:p>
    <w:p w14:paraId="03E32064">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玻璃原片</w:t>
      </w:r>
      <w:r>
        <w:rPr>
          <w:rFonts w:ascii="宋体" w:hAnsi="宋体" w:eastAsia="宋体" w:cs="宋体"/>
          <w:b w:val="0"/>
          <w:i w:val="0"/>
          <w:spacing w:val="0"/>
          <w:sz w:val="24"/>
        </w:rPr>
        <w:t>：高端水族箱主要使用德国肖特超白玻璃，进口依赖度达65%，成本占比约25%-30%。国产替代产品正在发展，但透光率和耐水压性能仍有差距。</w:t>
      </w:r>
    </w:p>
    <w:p w14:paraId="7139EC26">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LED芯片</w:t>
      </w:r>
      <w:r>
        <w:rPr>
          <w:rFonts w:ascii="宋体" w:hAnsi="宋体" w:eastAsia="宋体" w:cs="宋体"/>
          <w:b w:val="0"/>
          <w:i w:val="0"/>
          <w:spacing w:val="0"/>
          <w:sz w:val="24"/>
        </w:rPr>
        <w:t>：高端水族照明设备使用德国欧司朗、美国科锐芯片，进口依赖度达45%，成本占比约40%。国产LED芯片在常规照明领域国产化率达60%，但在高显色指数、耐腐蚀型高端领域仍落后。</w:t>
      </w:r>
    </w:p>
    <w:p w14:paraId="680A411F">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水草种源</w:t>
      </w:r>
      <w:r>
        <w:rPr>
          <w:rFonts w:ascii="宋体" w:hAnsi="宋体" w:eastAsia="宋体" w:cs="宋体"/>
          <w:b w:val="0"/>
          <w:i w:val="0"/>
          <w:spacing w:val="0"/>
          <w:sz w:val="24"/>
        </w:rPr>
        <w:t>：本土水草种源占比60%，进口水草占比40%，但进口水草价格是本土水草的3-5倍，利润空间更大。</w:t>
      </w:r>
    </w:p>
    <w:p w14:paraId="786C7FAB">
      <w:pPr>
        <w:pageBreakBefore w:val="0"/>
        <w:numPr>
          <w:ilvl w:val="0"/>
          <w:numId w:val="38"/>
        </w:numPr>
        <w:wordWrap/>
        <w:spacing w:before="160" w:after="0"/>
        <w:ind w:left="440" w:right="0" w:hanging="440"/>
        <w:jc w:val="left"/>
        <w:textAlignment w:val="auto"/>
        <w:rPr>
          <w:sz w:val="24"/>
        </w:rPr>
      </w:pPr>
      <w:r>
        <w:rPr>
          <w:rFonts w:ascii="宋体" w:hAnsi="宋体" w:eastAsia="宋体" w:cs="宋体"/>
          <w:b/>
          <w:i w:val="0"/>
          <w:spacing w:val="0"/>
          <w:sz w:val="24"/>
        </w:rPr>
        <w:t>沉木石材</w:t>
      </w:r>
      <w:r>
        <w:rPr>
          <w:rFonts w:ascii="宋体" w:hAnsi="宋体" w:eastAsia="宋体" w:cs="宋体"/>
          <w:b w:val="0"/>
          <w:i w:val="0"/>
          <w:spacing w:val="0"/>
          <w:sz w:val="24"/>
        </w:rPr>
        <w:t>：天然沉木和石材占比80%，人造仿生材料占比20%，后者成本低但自然感差。</w:t>
      </w:r>
    </w:p>
    <w:p w14:paraId="57F5C46F">
      <w:pPr>
        <w:pageBreakBefore w:val="0"/>
        <w:wordWrap/>
        <w:spacing w:before="160" w:after="0"/>
        <w:ind w:left="0" w:right="0"/>
        <w:jc w:val="left"/>
        <w:textAlignment w:val="auto"/>
        <w:rPr>
          <w:rFonts w:ascii="宋体" w:hAnsi="宋体" w:eastAsia="宋体" w:cs="宋体"/>
          <w:b/>
          <w:i w:val="0"/>
          <w:spacing w:val="0"/>
          <w:sz w:val="24"/>
        </w:rPr>
      </w:pPr>
    </w:p>
    <w:p w14:paraId="2F0E523F">
      <w:pPr>
        <w:pageBreakBefore w:val="0"/>
        <w:wordWrap/>
        <w:spacing w:before="160" w:after="0"/>
        <w:ind w:left="0" w:right="0"/>
        <w:jc w:val="left"/>
        <w:textAlignment w:val="auto"/>
        <w:rPr>
          <w:sz w:val="24"/>
        </w:rPr>
      </w:pPr>
      <w:r>
        <w:rPr>
          <w:rFonts w:ascii="宋体" w:hAnsi="宋体" w:eastAsia="宋体" w:cs="宋体"/>
          <w:b/>
          <w:i w:val="0"/>
          <w:spacing w:val="0"/>
          <w:sz w:val="24"/>
        </w:rPr>
        <w:t>中游产品/服务</w:t>
      </w:r>
      <w:r>
        <w:rPr>
          <w:rFonts w:ascii="宋体" w:hAnsi="宋体" w:eastAsia="宋体" w:cs="宋体"/>
          <w:b w:val="0"/>
          <w:i w:val="0"/>
          <w:spacing w:val="0"/>
          <w:sz w:val="24"/>
        </w:rPr>
        <w:t>：</w:t>
      </w:r>
    </w:p>
    <w:p w14:paraId="571F315B">
      <w:pPr>
        <w:pageBreakBefore w:val="0"/>
        <w:wordWrap/>
        <w:spacing w:before="160" w:after="0"/>
        <w:ind w:left="0" w:right="0"/>
        <w:jc w:val="left"/>
        <w:textAlignment w:val="auto"/>
        <w:rPr>
          <w:sz w:val="24"/>
        </w:rPr>
      </w:pPr>
      <w:r>
        <w:rPr>
          <w:rFonts w:ascii="宋体" w:hAnsi="宋体" w:eastAsia="宋体" w:cs="宋体"/>
          <w:b w:val="0"/>
          <w:i w:val="0"/>
          <w:spacing w:val="0"/>
          <w:sz w:val="24"/>
        </w:rPr>
        <w:t>中游包括水族箱制造、过滤设备研发、活体繁殖、造景设计等。</w:t>
      </w:r>
    </w:p>
    <w:p w14:paraId="6AA9DE3C">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水族箱制造</w:t>
      </w:r>
      <w:r>
        <w:rPr>
          <w:rFonts w:ascii="宋体" w:hAnsi="宋体" w:eastAsia="宋体" w:cs="宋体"/>
          <w:b w:val="0"/>
          <w:i w:val="0"/>
          <w:spacing w:val="0"/>
          <w:sz w:val="24"/>
        </w:rPr>
        <w:t>：高端定制水族箱毛利率达70%，普通标准水族箱毛利率为35%-40%。</w:t>
      </w:r>
    </w:p>
    <w:p w14:paraId="30806279">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过滤设备研发</w:t>
      </w:r>
      <w:r>
        <w:rPr>
          <w:rFonts w:ascii="宋体" w:hAnsi="宋体" w:eastAsia="宋体" w:cs="宋体"/>
          <w:b w:val="0"/>
          <w:i w:val="0"/>
          <w:spacing w:val="0"/>
          <w:sz w:val="24"/>
        </w:rPr>
        <w:t>：高端智能过滤系统毛利率达50%，普通过滤设备毛利率为30%-35%。</w:t>
      </w:r>
    </w:p>
    <w:p w14:paraId="72D47B47">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活体繁殖</w:t>
      </w:r>
      <w:r>
        <w:rPr>
          <w:rFonts w:ascii="宋体" w:hAnsi="宋体" w:eastAsia="宋体" w:cs="宋体"/>
          <w:b w:val="0"/>
          <w:i w:val="0"/>
          <w:spacing w:val="0"/>
          <w:sz w:val="24"/>
        </w:rPr>
        <w:t>：高端观赏鱼（如2.8万过背金龙鱼）毛利率达60%，普通热带鱼毛利率为25%-35%。</w:t>
      </w:r>
    </w:p>
    <w:p w14:paraId="070114E5">
      <w:pPr>
        <w:pageBreakBefore w:val="0"/>
        <w:numPr>
          <w:ilvl w:val="0"/>
          <w:numId w:val="39"/>
        </w:numPr>
        <w:wordWrap/>
        <w:spacing w:before="160" w:after="0"/>
        <w:ind w:left="440" w:right="0" w:hanging="440"/>
        <w:jc w:val="left"/>
        <w:textAlignment w:val="auto"/>
        <w:rPr>
          <w:sz w:val="24"/>
        </w:rPr>
      </w:pPr>
      <w:r>
        <w:rPr>
          <w:rFonts w:ascii="宋体" w:hAnsi="宋体" w:eastAsia="宋体" w:cs="宋体"/>
          <w:b/>
          <w:i w:val="0"/>
          <w:spacing w:val="0"/>
          <w:sz w:val="24"/>
        </w:rPr>
        <w:t>造景设计服务</w:t>
      </w:r>
      <w:r>
        <w:rPr>
          <w:rFonts w:ascii="宋体" w:hAnsi="宋体" w:eastAsia="宋体" w:cs="宋体"/>
          <w:b w:val="0"/>
          <w:i w:val="0"/>
          <w:spacing w:val="0"/>
          <w:sz w:val="24"/>
        </w:rPr>
        <w:t>：家庭造景设计服务毛利率为40%-60%，高端定制服务毛利率达70%，商业造景设计服务毛利率为45%-50%。</w:t>
      </w:r>
    </w:p>
    <w:p w14:paraId="5544A75B">
      <w:pPr>
        <w:pageBreakBefore w:val="0"/>
        <w:wordWrap/>
        <w:spacing w:before="160" w:after="0"/>
        <w:ind w:left="0" w:right="0"/>
        <w:jc w:val="left"/>
        <w:textAlignment w:val="auto"/>
        <w:rPr>
          <w:rFonts w:ascii="宋体" w:hAnsi="宋体" w:eastAsia="宋体" w:cs="宋体"/>
          <w:b/>
          <w:i w:val="0"/>
          <w:spacing w:val="0"/>
          <w:sz w:val="24"/>
        </w:rPr>
      </w:pPr>
    </w:p>
    <w:p w14:paraId="6863AC9E">
      <w:pPr>
        <w:pageBreakBefore w:val="0"/>
        <w:wordWrap/>
        <w:spacing w:before="160" w:after="0"/>
        <w:ind w:left="0" w:right="0"/>
        <w:jc w:val="left"/>
        <w:textAlignment w:val="auto"/>
        <w:rPr>
          <w:sz w:val="24"/>
        </w:rPr>
      </w:pPr>
      <w:r>
        <w:rPr>
          <w:rFonts w:ascii="宋体" w:hAnsi="宋体" w:eastAsia="宋体" w:cs="宋体"/>
          <w:b/>
          <w:i w:val="0"/>
          <w:spacing w:val="0"/>
          <w:sz w:val="24"/>
        </w:rPr>
        <w:t>下游应用场景</w:t>
      </w:r>
      <w:r>
        <w:rPr>
          <w:rFonts w:ascii="宋体" w:hAnsi="宋体" w:eastAsia="宋体" w:cs="宋体"/>
          <w:b w:val="0"/>
          <w:i w:val="0"/>
          <w:spacing w:val="0"/>
          <w:sz w:val="24"/>
        </w:rPr>
        <w:t>：</w:t>
      </w:r>
    </w:p>
    <w:p w14:paraId="765A7985">
      <w:pPr>
        <w:pageBreakBefore w:val="0"/>
        <w:wordWrap/>
        <w:spacing w:before="160" w:after="0"/>
        <w:ind w:left="0" w:right="0"/>
        <w:jc w:val="left"/>
        <w:textAlignment w:val="auto"/>
        <w:rPr>
          <w:sz w:val="24"/>
        </w:rPr>
      </w:pPr>
      <w:r>
        <w:rPr>
          <w:rFonts w:ascii="宋体" w:hAnsi="宋体" w:eastAsia="宋体" w:cs="宋体"/>
          <w:b w:val="0"/>
          <w:i w:val="0"/>
          <w:spacing w:val="0"/>
          <w:sz w:val="24"/>
        </w:rPr>
        <w:t>下游主要包括家庭消费、商业空间、公共场景等。</w:t>
      </w:r>
    </w:p>
    <w:p w14:paraId="1F00428B">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家庭消费</w:t>
      </w:r>
      <w:r>
        <w:rPr>
          <w:rFonts w:ascii="宋体" w:hAnsi="宋体" w:eastAsia="宋体" w:cs="宋体"/>
          <w:b w:val="0"/>
          <w:i w:val="0"/>
          <w:spacing w:val="0"/>
          <w:sz w:val="24"/>
        </w:rPr>
        <w:t>：占比超过90%，客厅为主要放置位置，需求稳定增长。</w:t>
      </w:r>
    </w:p>
    <w:p w14:paraId="0B3287F0">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商业空间</w:t>
      </w:r>
      <w:r>
        <w:rPr>
          <w:rFonts w:ascii="宋体" w:hAnsi="宋体" w:eastAsia="宋体" w:cs="宋体"/>
          <w:b w:val="0"/>
          <w:i w:val="0"/>
          <w:spacing w:val="0"/>
          <w:sz w:val="24"/>
        </w:rPr>
        <w:t>：商场/酒店等商业造景项目营收占比从2020年的12%提升至2025年的28%，预计2026年将达35%。</w:t>
      </w:r>
    </w:p>
    <w:p w14:paraId="36E00B65">
      <w:pPr>
        <w:pageBreakBefore w:val="0"/>
        <w:numPr>
          <w:ilvl w:val="0"/>
          <w:numId w:val="40"/>
        </w:numPr>
        <w:wordWrap/>
        <w:spacing w:before="160" w:after="0"/>
        <w:ind w:left="440" w:right="0" w:hanging="440"/>
        <w:jc w:val="left"/>
        <w:textAlignment w:val="auto"/>
        <w:rPr>
          <w:sz w:val="24"/>
        </w:rPr>
      </w:pPr>
      <w:r>
        <w:rPr>
          <w:rFonts w:ascii="宋体" w:hAnsi="宋体" w:eastAsia="宋体" w:cs="宋体"/>
          <w:b/>
          <w:i w:val="0"/>
          <w:spacing w:val="0"/>
          <w:sz w:val="24"/>
        </w:rPr>
        <w:t>公共场景</w:t>
      </w:r>
      <w:r>
        <w:rPr>
          <w:rFonts w:ascii="宋体" w:hAnsi="宋体" w:eastAsia="宋体" w:cs="宋体"/>
          <w:b w:val="0"/>
          <w:i w:val="0"/>
          <w:spacing w:val="0"/>
          <w:sz w:val="24"/>
        </w:rPr>
        <w:t>：水族馆、科普馆等公共场景需求增长迅速，2025年增长率达30%。</w:t>
      </w:r>
    </w:p>
    <w:p w14:paraId="2DAFB4B2">
      <w:pPr>
        <w:pageBreakBefore w:val="0"/>
        <w:wordWrap/>
        <w:spacing w:before="160" w:after="0"/>
        <w:ind w:left="0" w:right="0"/>
        <w:jc w:val="left"/>
        <w:textAlignment w:val="auto"/>
        <w:rPr>
          <w:rFonts w:ascii="宋体" w:hAnsi="宋体" w:eastAsia="宋体" w:cs="宋体"/>
          <w:b/>
          <w:i w:val="0"/>
          <w:spacing w:val="0"/>
          <w:sz w:val="24"/>
        </w:rPr>
      </w:pPr>
    </w:p>
    <w:p w14:paraId="65857BA4">
      <w:pPr>
        <w:pageBreakBefore w:val="0"/>
        <w:wordWrap/>
        <w:spacing w:before="160" w:after="0"/>
        <w:ind w:left="0" w:right="0"/>
        <w:jc w:val="left"/>
        <w:textAlignment w:val="auto"/>
        <w:rPr>
          <w:sz w:val="24"/>
        </w:rPr>
      </w:pPr>
      <w:r>
        <w:rPr>
          <w:rFonts w:ascii="宋体" w:hAnsi="宋体" w:eastAsia="宋体" w:cs="宋体"/>
          <w:b/>
          <w:i w:val="0"/>
          <w:spacing w:val="0"/>
          <w:sz w:val="24"/>
        </w:rPr>
        <w:t>区域分布特点</w:t>
      </w:r>
      <w:r>
        <w:rPr>
          <w:rFonts w:ascii="宋体" w:hAnsi="宋体" w:eastAsia="宋体" w:cs="宋体"/>
          <w:b w:val="0"/>
          <w:i w:val="0"/>
          <w:spacing w:val="0"/>
          <w:sz w:val="24"/>
        </w:rPr>
        <w:t>：</w:t>
      </w:r>
    </w:p>
    <w:p w14:paraId="564BDE52">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水族造景服务呈现明显的区域分布特点：</w:t>
      </w:r>
    </w:p>
    <w:p w14:paraId="400D9BAE">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华东地区</w:t>
      </w:r>
      <w:r>
        <w:rPr>
          <w:rFonts w:ascii="宋体" w:hAnsi="宋体" w:eastAsia="宋体" w:cs="宋体"/>
          <w:b w:val="0"/>
          <w:i w:val="0"/>
          <w:spacing w:val="0"/>
          <w:sz w:val="24"/>
        </w:rPr>
        <w:t>：占商业造景项目58%，以上海、杭州、南京、苏州为代表，注重亚克力幕墙等大型商业项目</w:t>
      </w:r>
    </w:p>
    <w:p w14:paraId="6092F5C0">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华南地区</w:t>
      </w:r>
      <w:r>
        <w:rPr>
          <w:rFonts w:ascii="宋体" w:hAnsi="宋体" w:eastAsia="宋体" w:cs="宋体"/>
          <w:b w:val="0"/>
          <w:i w:val="0"/>
          <w:spacing w:val="0"/>
          <w:sz w:val="24"/>
        </w:rPr>
        <w:t>：占22%，以广州、深圳、东莞为核心，依托珠三角发达的电子制造基础，智能设备渗透率高</w:t>
      </w:r>
    </w:p>
    <w:p w14:paraId="0010A5AC">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西南地区</w:t>
      </w:r>
      <w:r>
        <w:rPr>
          <w:rFonts w:ascii="宋体" w:hAnsi="宋体" w:eastAsia="宋体" w:cs="宋体"/>
          <w:b w:val="0"/>
          <w:i w:val="0"/>
          <w:spacing w:val="0"/>
          <w:sz w:val="24"/>
        </w:rPr>
        <w:t>：占12%，以成都、重庆为代表，受文旅产业推动，注重本土文化融合（如"竹林水族缸"）</w:t>
      </w:r>
    </w:p>
    <w:p w14:paraId="499CB9C6">
      <w:pPr>
        <w:pageBreakBefore w:val="0"/>
        <w:numPr>
          <w:ilvl w:val="0"/>
          <w:numId w:val="41"/>
        </w:numPr>
        <w:wordWrap/>
        <w:spacing w:before="160" w:after="0"/>
        <w:ind w:left="440" w:right="0" w:hanging="440"/>
        <w:jc w:val="left"/>
        <w:textAlignment w:val="auto"/>
        <w:rPr>
          <w:sz w:val="24"/>
        </w:rPr>
      </w:pPr>
      <w:r>
        <w:rPr>
          <w:rFonts w:ascii="宋体" w:hAnsi="宋体" w:eastAsia="宋体" w:cs="宋体"/>
          <w:b/>
          <w:i w:val="0"/>
          <w:spacing w:val="0"/>
          <w:sz w:val="24"/>
        </w:rPr>
        <w:t>华北地区</w:t>
      </w:r>
      <w:r>
        <w:rPr>
          <w:rFonts w:ascii="宋体" w:hAnsi="宋体" w:eastAsia="宋体" w:cs="宋体"/>
          <w:b w:val="0"/>
          <w:i w:val="0"/>
          <w:spacing w:val="0"/>
          <w:sz w:val="24"/>
        </w:rPr>
        <w:t>：占8%，以北京、天津为核心，高端定制化产品接受度高，客单价普遍高于其他地区</w:t>
      </w:r>
    </w:p>
    <w:p w14:paraId="088C86DC">
      <w:pPr>
        <w:pageBreakBefore w:val="0"/>
        <w:wordWrap/>
        <w:spacing w:before="160" w:after="0"/>
        <w:ind w:left="0" w:right="0"/>
        <w:jc w:val="left"/>
        <w:textAlignment w:val="auto"/>
        <w:rPr>
          <w:rFonts w:ascii="宋体" w:hAnsi="宋体" w:eastAsia="宋体" w:cs="宋体"/>
          <w:b/>
          <w:i w:val="0"/>
          <w:spacing w:val="0"/>
          <w:sz w:val="24"/>
        </w:rPr>
      </w:pPr>
    </w:p>
    <w:p w14:paraId="50387258">
      <w:pPr>
        <w:pageBreakBefore w:val="0"/>
        <w:wordWrap/>
        <w:spacing w:before="160" w:after="0"/>
        <w:ind w:left="0" w:right="0"/>
        <w:jc w:val="left"/>
        <w:textAlignment w:val="auto"/>
        <w:rPr>
          <w:sz w:val="24"/>
        </w:rPr>
      </w:pPr>
      <w:r>
        <w:rPr>
          <w:rFonts w:ascii="宋体" w:hAnsi="宋体" w:eastAsia="宋体" w:cs="宋体"/>
          <w:b/>
          <w:i w:val="0"/>
          <w:spacing w:val="0"/>
          <w:sz w:val="24"/>
        </w:rPr>
        <w:t>7.1.2 市场规模与增长潜力</w:t>
      </w:r>
    </w:p>
    <w:p w14:paraId="772D05A5">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水族造景行业市场规模持续扩大，增长潜力巨大，但细分市场增速差异明显。</w:t>
      </w:r>
    </w:p>
    <w:p w14:paraId="0FA389D8">
      <w:pPr>
        <w:pageBreakBefore w:val="0"/>
        <w:wordWrap/>
        <w:spacing w:before="160" w:after="0"/>
        <w:ind w:left="0" w:right="0"/>
        <w:jc w:val="left"/>
        <w:textAlignment w:val="auto"/>
        <w:rPr>
          <w:sz w:val="24"/>
        </w:rPr>
      </w:pPr>
      <w:r>
        <w:rPr>
          <w:rFonts w:ascii="宋体" w:hAnsi="宋体" w:eastAsia="宋体" w:cs="宋体"/>
          <w:b/>
          <w:i w:val="0"/>
          <w:spacing w:val="0"/>
          <w:sz w:val="24"/>
        </w:rPr>
        <w:t>2020-2026年中国水族造景市场规模</w:t>
      </w:r>
      <w:r>
        <w:rPr>
          <w:rFonts w:ascii="宋体" w:hAnsi="宋体" w:eastAsia="宋体" w:cs="宋体"/>
          <w:b w:val="0"/>
          <w:i w:val="0"/>
          <w:spacing w:val="0"/>
          <w:sz w:val="24"/>
        </w:rPr>
        <w:t>：</w:t>
      </w:r>
    </w:p>
    <w:p w14:paraId="26C85291">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2020年</w:t>
      </w:r>
      <w:r>
        <w:rPr>
          <w:rFonts w:ascii="宋体" w:hAnsi="宋体" w:eastAsia="宋体" w:cs="宋体"/>
          <w:b w:val="0"/>
          <w:i w:val="0"/>
          <w:spacing w:val="0"/>
          <w:sz w:val="24"/>
        </w:rPr>
        <w:t>：123亿元</w:t>
      </w:r>
    </w:p>
    <w:p w14:paraId="5A966A47">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2024年</w:t>
      </w:r>
      <w:r>
        <w:rPr>
          <w:rFonts w:ascii="宋体" w:hAnsi="宋体" w:eastAsia="宋体" w:cs="宋体"/>
          <w:b w:val="0"/>
          <w:i w:val="0"/>
          <w:spacing w:val="0"/>
          <w:sz w:val="24"/>
        </w:rPr>
        <w:t>：356亿元（年复合增长率30.1%）</w:t>
      </w:r>
    </w:p>
    <w:p w14:paraId="2F6C2A30">
      <w:pPr>
        <w:pageBreakBefore w:val="0"/>
        <w:numPr>
          <w:ilvl w:val="0"/>
          <w:numId w:val="42"/>
        </w:numPr>
        <w:wordWrap/>
        <w:spacing w:before="160" w:after="0"/>
        <w:ind w:left="440" w:right="0" w:hanging="440"/>
        <w:jc w:val="left"/>
        <w:textAlignment w:val="auto"/>
        <w:rPr>
          <w:sz w:val="24"/>
        </w:rPr>
      </w:pPr>
      <w:r>
        <w:rPr>
          <w:rFonts w:ascii="宋体" w:hAnsi="宋体" w:eastAsia="宋体" w:cs="宋体"/>
          <w:b/>
          <w:i w:val="0"/>
          <w:spacing w:val="0"/>
          <w:sz w:val="24"/>
        </w:rPr>
        <w:t>2026年预测</w:t>
      </w:r>
      <w:r>
        <w:rPr>
          <w:rFonts w:ascii="宋体" w:hAnsi="宋体" w:eastAsia="宋体" w:cs="宋体"/>
          <w:b w:val="0"/>
          <w:i w:val="0"/>
          <w:spacing w:val="0"/>
          <w:sz w:val="24"/>
        </w:rPr>
        <w:t>：400亿元（年增长率12%）</w:t>
      </w:r>
    </w:p>
    <w:p w14:paraId="6B9F10E4">
      <w:pPr>
        <w:pageBreakBefore w:val="0"/>
        <w:wordWrap/>
        <w:spacing w:before="160" w:after="0"/>
        <w:ind w:left="0" w:right="0"/>
        <w:jc w:val="left"/>
        <w:textAlignment w:val="auto"/>
        <w:rPr>
          <w:sz w:val="24"/>
        </w:rPr>
      </w:pPr>
      <w:r>
        <w:rPr>
          <w:rFonts w:ascii="宋体" w:hAnsi="宋体" w:eastAsia="宋体" w:cs="宋体"/>
          <w:b/>
          <w:i w:val="0"/>
          <w:spacing w:val="0"/>
          <w:sz w:val="24"/>
        </w:rPr>
        <w:t>细分市场增长潜力</w:t>
      </w:r>
      <w:r>
        <w:rPr>
          <w:rFonts w:ascii="宋体" w:hAnsi="宋体" w:eastAsia="宋体" w:cs="宋体"/>
          <w:b w:val="0"/>
          <w:i w:val="0"/>
          <w:spacing w:val="0"/>
          <w:sz w:val="24"/>
        </w:rPr>
        <w:t>：</w:t>
      </w:r>
    </w:p>
    <w:p w14:paraId="573144EB">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智能水族设备</w:t>
      </w:r>
      <w:r>
        <w:rPr>
          <w:rFonts w:ascii="宋体" w:hAnsi="宋体" w:eastAsia="宋体" w:cs="宋体"/>
          <w:b w:val="0"/>
          <w:i w:val="0"/>
          <w:spacing w:val="0"/>
          <w:sz w:val="24"/>
        </w:rPr>
        <w:t>：2026年市场规模预计达65亿元，年增长率22%</w:t>
      </w:r>
    </w:p>
    <w:p w14:paraId="167E5EDE">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生态友好型材料</w:t>
      </w:r>
      <w:r>
        <w:rPr>
          <w:rFonts w:ascii="宋体" w:hAnsi="宋体" w:eastAsia="宋体" w:cs="宋体"/>
          <w:b w:val="0"/>
          <w:i w:val="0"/>
          <w:spacing w:val="0"/>
          <w:sz w:val="24"/>
        </w:rPr>
        <w:t>：2026年市场规模预计达40亿元，年增长率25%</w:t>
      </w:r>
    </w:p>
    <w:p w14:paraId="601F1FA3">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专业造景服务</w:t>
      </w:r>
      <w:r>
        <w:rPr>
          <w:rFonts w:ascii="宋体" w:hAnsi="宋体" w:eastAsia="宋体" w:cs="宋体"/>
          <w:b w:val="0"/>
          <w:i w:val="0"/>
          <w:spacing w:val="0"/>
          <w:sz w:val="24"/>
        </w:rPr>
        <w:t>：2026年市场规模预计达80亿元，年增长率18%</w:t>
      </w:r>
    </w:p>
    <w:p w14:paraId="255E264B">
      <w:pPr>
        <w:pageBreakBefore w:val="0"/>
        <w:numPr>
          <w:ilvl w:val="0"/>
          <w:numId w:val="43"/>
        </w:numPr>
        <w:wordWrap/>
        <w:spacing w:before="160" w:after="0"/>
        <w:ind w:left="440" w:right="0" w:hanging="440"/>
        <w:jc w:val="left"/>
        <w:textAlignment w:val="auto"/>
        <w:rPr>
          <w:sz w:val="24"/>
        </w:rPr>
      </w:pPr>
      <w:r>
        <w:rPr>
          <w:rFonts w:ascii="宋体" w:hAnsi="宋体" w:eastAsia="宋体" w:cs="宋体"/>
          <w:b/>
          <w:i w:val="0"/>
          <w:spacing w:val="0"/>
          <w:sz w:val="24"/>
        </w:rPr>
        <w:t>教育场景应用</w:t>
      </w:r>
      <w:r>
        <w:rPr>
          <w:rFonts w:ascii="宋体" w:hAnsi="宋体" w:eastAsia="宋体" w:cs="宋体"/>
          <w:b w:val="0"/>
          <w:i w:val="0"/>
          <w:spacing w:val="0"/>
          <w:sz w:val="24"/>
        </w:rPr>
        <w:t>：2026年市场规模预计达30亿元，年增长率30%</w:t>
      </w:r>
    </w:p>
    <w:p w14:paraId="0C48749D">
      <w:pPr>
        <w:pageBreakBefore w:val="0"/>
        <w:wordWrap/>
        <w:spacing w:before="160" w:after="0"/>
        <w:ind w:left="0" w:right="0"/>
        <w:jc w:val="left"/>
        <w:textAlignment w:val="auto"/>
        <w:rPr>
          <w:rFonts w:ascii="宋体" w:hAnsi="宋体" w:eastAsia="宋体" w:cs="宋体"/>
          <w:b/>
          <w:i w:val="0"/>
          <w:spacing w:val="0"/>
          <w:sz w:val="24"/>
        </w:rPr>
      </w:pPr>
    </w:p>
    <w:p w14:paraId="431C0877">
      <w:pPr>
        <w:pageBreakBefore w:val="0"/>
        <w:wordWrap/>
        <w:spacing w:before="160" w:after="0"/>
        <w:ind w:left="0" w:right="0"/>
        <w:jc w:val="left"/>
        <w:textAlignment w:val="auto"/>
        <w:rPr>
          <w:sz w:val="24"/>
        </w:rPr>
      </w:pPr>
      <w:r>
        <w:rPr>
          <w:rFonts w:ascii="宋体" w:hAnsi="宋体" w:eastAsia="宋体" w:cs="宋体"/>
          <w:b/>
          <w:i w:val="0"/>
          <w:spacing w:val="0"/>
          <w:sz w:val="24"/>
        </w:rPr>
        <w:t>增长驱动因素</w:t>
      </w:r>
      <w:r>
        <w:rPr>
          <w:rFonts w:ascii="宋体" w:hAnsi="宋体" w:eastAsia="宋体" w:cs="宋体"/>
          <w:b w:val="0"/>
          <w:i w:val="0"/>
          <w:spacing w:val="0"/>
          <w:sz w:val="24"/>
        </w:rPr>
        <w:t>：</w:t>
      </w:r>
    </w:p>
    <w:p w14:paraId="7DB65552">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消费升级</w:t>
      </w:r>
      <w:r>
        <w:rPr>
          <w:rFonts w:ascii="宋体" w:hAnsi="宋体" w:eastAsia="宋体" w:cs="宋体"/>
          <w:b w:val="0"/>
          <w:i w:val="0"/>
          <w:spacing w:val="0"/>
          <w:sz w:val="24"/>
        </w:rPr>
        <w:t>：2024年城镇家庭水族箱保有量达8.2%，较2020年提升3.1个百分点</w:t>
      </w:r>
    </w:p>
    <w:p w14:paraId="4D70899B">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商业空间需求</w:t>
      </w:r>
      <w:r>
        <w:rPr>
          <w:rFonts w:ascii="宋体" w:hAnsi="宋体" w:eastAsia="宋体" w:cs="宋体"/>
          <w:b w:val="0"/>
          <w:i w:val="0"/>
          <w:spacing w:val="0"/>
          <w:sz w:val="24"/>
        </w:rPr>
        <w:t>：大型商场、酒店等商业场所对生态景观的需求增加，推动商业造景项目增长</w:t>
      </w:r>
    </w:p>
    <w:p w14:paraId="3BF639BA">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政策支持</w:t>
      </w:r>
      <w:r>
        <w:rPr>
          <w:rFonts w:ascii="宋体" w:hAnsi="宋体" w:eastAsia="宋体" w:cs="宋体"/>
          <w:b w:val="0"/>
          <w:i w:val="0"/>
          <w:spacing w:val="0"/>
          <w:sz w:val="24"/>
        </w:rPr>
        <w:t>：2023年《重点管理外来入侵物种名录》推动本土水草和生物需求增长</w:t>
      </w:r>
    </w:p>
    <w:p w14:paraId="7FBE060D">
      <w:pPr>
        <w:pageBreakBefore w:val="0"/>
        <w:numPr>
          <w:ilvl w:val="0"/>
          <w:numId w:val="44"/>
        </w:numPr>
        <w:wordWrap/>
        <w:spacing w:before="160" w:after="0"/>
        <w:ind w:left="440" w:right="0" w:hanging="440"/>
        <w:jc w:val="left"/>
        <w:textAlignment w:val="auto"/>
        <w:rPr>
          <w:sz w:val="24"/>
        </w:rPr>
      </w:pPr>
      <w:r>
        <w:rPr>
          <w:rFonts w:ascii="宋体" w:hAnsi="宋体" w:eastAsia="宋体" w:cs="宋体"/>
          <w:b/>
          <w:i w:val="0"/>
          <w:spacing w:val="0"/>
          <w:sz w:val="24"/>
        </w:rPr>
        <w:t>技术进步</w:t>
      </w:r>
      <w:r>
        <w:rPr>
          <w:rFonts w:ascii="宋体" w:hAnsi="宋体" w:eastAsia="宋体" w:cs="宋体"/>
          <w:b w:val="0"/>
          <w:i w:val="0"/>
          <w:spacing w:val="0"/>
          <w:sz w:val="24"/>
        </w:rPr>
        <w:t>：智能控制系统、新型生态材料等技术进步提升用户体验，扩大市场需求</w:t>
      </w:r>
    </w:p>
    <w:p w14:paraId="313ABF5C">
      <w:pPr>
        <w:pageBreakBefore w:val="0"/>
        <w:wordWrap/>
        <w:spacing w:before="160" w:after="0"/>
        <w:ind w:left="0" w:right="0"/>
        <w:jc w:val="left"/>
        <w:textAlignment w:val="auto"/>
        <w:rPr>
          <w:sz w:val="24"/>
        </w:rPr>
      </w:pPr>
      <w:r>
        <w:rPr>
          <w:rFonts w:ascii="宋体" w:hAnsi="宋体" w:eastAsia="宋体" w:cs="宋体"/>
          <w:b/>
          <w:i w:val="0"/>
          <w:spacing w:val="0"/>
          <w:sz w:val="24"/>
        </w:rPr>
        <w:t>案例分析</w:t>
      </w:r>
      <w:r>
        <w:rPr>
          <w:rFonts w:ascii="宋体" w:hAnsi="宋体" w:eastAsia="宋体" w:cs="宋体"/>
          <w:b w:val="0"/>
          <w:i w:val="0"/>
          <w:spacing w:val="0"/>
          <w:sz w:val="24"/>
        </w:rPr>
        <w:t>：北京诚信鱼悦科技发展有限公司的大型亚克力工程采用</w:t>
      </w:r>
      <w:r>
        <w:rPr>
          <w:rFonts w:ascii="宋体" w:hAnsi="宋体" w:eastAsia="宋体" w:cs="宋体"/>
          <w:b/>
          <w:i w:val="0"/>
          <w:spacing w:val="0"/>
          <w:sz w:val="24"/>
        </w:rPr>
        <w:t>零接缝技术</w:t>
      </w:r>
      <w:r>
        <w:rPr>
          <w:rFonts w:ascii="宋体" w:hAnsi="宋体" w:eastAsia="宋体" w:cs="宋体"/>
          <w:b w:val="0"/>
          <w:i w:val="0"/>
          <w:spacing w:val="0"/>
          <w:sz w:val="24"/>
        </w:rPr>
        <w:t>和</w:t>
      </w:r>
      <w:r>
        <w:rPr>
          <w:rFonts w:ascii="宋体" w:hAnsi="宋体" w:eastAsia="宋体" w:cs="宋体"/>
          <w:b/>
          <w:i w:val="0"/>
          <w:spacing w:val="0"/>
          <w:sz w:val="24"/>
        </w:rPr>
        <w:t>纳米涂层过滤器</w:t>
      </w:r>
      <w:r>
        <w:rPr>
          <w:rFonts w:ascii="宋体" w:hAnsi="宋体" w:eastAsia="宋体" w:cs="宋体"/>
          <w:b w:val="0"/>
          <w:i w:val="0"/>
          <w:spacing w:val="0"/>
          <w:sz w:val="24"/>
        </w:rPr>
        <w:t>，透光率达93%（行业平均88%），大型工程客户复购率连续5年保持在75%以上，远超行业均值50%。这表明**"技术创新+高端定制"**是行业增长的核心驱动力。</w:t>
      </w:r>
    </w:p>
    <w:p w14:paraId="0D3DAF14">
      <w:pPr>
        <w:pageBreakBefore w:val="0"/>
        <w:wordWrap/>
        <w:spacing w:before="160" w:after="0"/>
        <w:ind w:left="0" w:right="0"/>
        <w:jc w:val="left"/>
        <w:textAlignment w:val="auto"/>
        <w:rPr>
          <w:rFonts w:ascii="宋体" w:hAnsi="宋体" w:eastAsia="宋体" w:cs="宋体"/>
          <w:b/>
          <w:i w:val="0"/>
          <w:spacing w:val="0"/>
          <w:sz w:val="24"/>
        </w:rPr>
      </w:pPr>
    </w:p>
    <w:p w14:paraId="6F14D670">
      <w:pPr>
        <w:pageBreakBefore w:val="0"/>
        <w:wordWrap/>
        <w:spacing w:before="160" w:after="0"/>
        <w:ind w:left="0" w:right="0"/>
        <w:jc w:val="left"/>
        <w:textAlignment w:val="auto"/>
        <w:rPr>
          <w:sz w:val="24"/>
        </w:rPr>
      </w:pPr>
      <w:r>
        <w:rPr>
          <w:rFonts w:ascii="宋体" w:hAnsi="宋体" w:eastAsia="宋体" w:cs="宋体"/>
          <w:b/>
          <w:i w:val="0"/>
          <w:spacing w:val="0"/>
          <w:sz w:val="24"/>
        </w:rPr>
        <w:t>7.1.3 消费者需求变化</w:t>
      </w:r>
    </w:p>
    <w:p w14:paraId="0682BDFF">
      <w:pPr>
        <w:pageBreakBefore w:val="0"/>
        <w:wordWrap/>
        <w:spacing w:before="160" w:after="0"/>
        <w:ind w:left="0" w:right="0"/>
        <w:jc w:val="left"/>
        <w:textAlignment w:val="auto"/>
        <w:rPr>
          <w:sz w:val="24"/>
        </w:rPr>
      </w:pPr>
      <w:r>
        <w:rPr>
          <w:rFonts w:ascii="宋体" w:hAnsi="宋体" w:eastAsia="宋体" w:cs="宋体"/>
          <w:b w:val="0"/>
          <w:i w:val="0"/>
          <w:spacing w:val="0"/>
          <w:sz w:val="24"/>
        </w:rPr>
        <w:t>消费者需求正从</w:t>
      </w:r>
      <w:r>
        <w:rPr>
          <w:rFonts w:ascii="宋体" w:hAnsi="宋体" w:eastAsia="宋体" w:cs="宋体"/>
          <w:b/>
          <w:i w:val="0"/>
          <w:spacing w:val="0"/>
          <w:sz w:val="24"/>
        </w:rPr>
        <w:t>单一观赏向多元化、个性化和智能化</w:t>
      </w:r>
      <w:r>
        <w:rPr>
          <w:rFonts w:ascii="宋体" w:hAnsi="宋体" w:eastAsia="宋体" w:cs="宋体"/>
          <w:b w:val="0"/>
          <w:i w:val="0"/>
          <w:spacing w:val="0"/>
          <w:sz w:val="24"/>
        </w:rPr>
        <w:t>转变，不同群体需求差异显著。</w:t>
      </w:r>
    </w:p>
    <w:p w14:paraId="34AEA082">
      <w:pPr>
        <w:pageBreakBefore w:val="0"/>
        <w:wordWrap/>
        <w:spacing w:before="160" w:after="0"/>
        <w:ind w:left="0" w:right="0"/>
        <w:jc w:val="left"/>
        <w:textAlignment w:val="auto"/>
        <w:rPr>
          <w:sz w:val="24"/>
        </w:rPr>
      </w:pPr>
      <w:r>
        <w:rPr>
          <w:rFonts w:ascii="宋体" w:hAnsi="宋体" w:eastAsia="宋体" w:cs="宋体"/>
          <w:b/>
          <w:i w:val="0"/>
          <w:spacing w:val="0"/>
          <w:sz w:val="24"/>
        </w:rPr>
        <w:t>消费者群体细分</w:t>
      </w:r>
      <w:r>
        <w:rPr>
          <w:rFonts w:ascii="宋体" w:hAnsi="宋体" w:eastAsia="宋体" w:cs="宋体"/>
          <w:b w:val="0"/>
          <w:i w:val="0"/>
          <w:spacing w:val="0"/>
          <w:sz w:val="24"/>
        </w:rPr>
        <w:t>：</w:t>
      </w:r>
    </w:p>
    <w:p w14:paraId="6B260422">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家庭消费者</w:t>
      </w:r>
      <w:r>
        <w:rPr>
          <w:rFonts w:ascii="宋体" w:hAnsi="宋体" w:eastAsia="宋体" w:cs="宋体"/>
          <w:b w:val="0"/>
          <w:i w:val="0"/>
          <w:spacing w:val="0"/>
          <w:sz w:val="24"/>
        </w:rPr>
        <w:t>：</w:t>
      </w:r>
    </w:p>
    <w:p w14:paraId="24F8E1EA">
      <w:pPr>
        <w:pageBreakBefore w:val="0"/>
        <w:numPr>
          <w:ilvl w:val="1"/>
          <w:numId w:val="46"/>
        </w:numPr>
        <w:wordWrap/>
        <w:spacing w:before="160" w:after="0"/>
        <w:ind w:left="880" w:right="0" w:hanging="440"/>
        <w:jc w:val="left"/>
        <w:textAlignment w:val="auto"/>
        <w:rPr>
          <w:sz w:val="24"/>
        </w:rPr>
      </w:pPr>
      <w:r>
        <w:rPr>
          <w:rFonts w:ascii="宋体" w:hAnsi="宋体" w:eastAsia="宋体" w:cs="宋体"/>
          <w:b/>
          <w:i w:val="0"/>
          <w:spacing w:val="0"/>
          <w:sz w:val="24"/>
        </w:rPr>
        <w:t>规模</w:t>
      </w:r>
      <w:r>
        <w:rPr>
          <w:rFonts w:ascii="宋体" w:hAnsi="宋体" w:eastAsia="宋体" w:cs="宋体"/>
          <w:b w:val="0"/>
          <w:i w:val="0"/>
          <w:spacing w:val="0"/>
          <w:sz w:val="24"/>
        </w:rPr>
        <w:t>：占总消费群体90%以上</w:t>
      </w:r>
    </w:p>
    <w:p w14:paraId="11AF86FD">
      <w:pPr>
        <w:pageBreakBefore w:val="0"/>
        <w:numPr>
          <w:ilvl w:val="1"/>
          <w:numId w:val="46"/>
        </w:numPr>
        <w:wordWrap/>
        <w:spacing w:before="160" w:after="0"/>
        <w:ind w:left="880" w:right="0" w:hanging="440"/>
        <w:jc w:val="left"/>
        <w:textAlignment w:val="auto"/>
        <w:rPr>
          <w:sz w:val="24"/>
        </w:rPr>
      </w:pPr>
      <w:r>
        <w:rPr>
          <w:rFonts w:ascii="宋体" w:hAnsi="宋体" w:eastAsia="宋体" w:cs="宋体"/>
          <w:b/>
          <w:i w:val="0"/>
          <w:spacing w:val="0"/>
          <w:sz w:val="24"/>
        </w:rPr>
        <w:t>需求特点</w:t>
      </w:r>
      <w:r>
        <w:rPr>
          <w:rFonts w:ascii="宋体" w:hAnsi="宋体" w:eastAsia="宋体" w:cs="宋体"/>
          <w:b w:val="0"/>
          <w:i w:val="0"/>
          <w:spacing w:val="0"/>
          <w:sz w:val="24"/>
        </w:rPr>
        <w:t>：追求美观与易维护，对智能设备需求高（渗透率35%）</w:t>
      </w:r>
    </w:p>
    <w:p w14:paraId="34BD6B50">
      <w:pPr>
        <w:pageBreakBefore w:val="0"/>
        <w:numPr>
          <w:ilvl w:val="1"/>
          <w:numId w:val="46"/>
        </w:numPr>
        <w:wordWrap/>
        <w:spacing w:before="160" w:after="0"/>
        <w:ind w:left="880" w:right="0" w:hanging="440"/>
        <w:jc w:val="left"/>
        <w:textAlignment w:val="auto"/>
        <w:rPr>
          <w:sz w:val="24"/>
        </w:rPr>
      </w:pPr>
      <w:r>
        <w:rPr>
          <w:rFonts w:ascii="宋体" w:hAnsi="宋体" w:eastAsia="宋体" w:cs="宋体"/>
          <w:b/>
          <w:i w:val="0"/>
          <w:spacing w:val="0"/>
          <w:sz w:val="24"/>
        </w:rPr>
        <w:t>增长点</w:t>
      </w:r>
      <w:r>
        <w:rPr>
          <w:rFonts w:ascii="宋体" w:hAnsi="宋体" w:eastAsia="宋体" w:cs="宋体"/>
          <w:b w:val="0"/>
          <w:i w:val="0"/>
          <w:spacing w:val="0"/>
          <w:sz w:val="24"/>
        </w:rPr>
        <w:t>：小型水族箱（&lt;60cm）增长迅速，桌面生态缸成新宠</w:t>
      </w:r>
    </w:p>
    <w:p w14:paraId="1AC5C191">
      <w:pPr>
        <w:pageBreakBefore w:val="0"/>
        <w:numPr>
          <w:ilvl w:val="1"/>
          <w:numId w:val="46"/>
        </w:numPr>
        <w:wordWrap/>
        <w:spacing w:before="160" w:after="0"/>
        <w:ind w:left="880" w:right="0" w:hanging="440"/>
        <w:jc w:val="left"/>
        <w:textAlignment w:val="auto"/>
        <w:rPr>
          <w:sz w:val="24"/>
        </w:rPr>
      </w:pPr>
      <w:r>
        <w:rPr>
          <w:rFonts w:ascii="宋体" w:hAnsi="宋体" w:eastAsia="宋体" w:cs="宋体"/>
          <w:b/>
          <w:i w:val="0"/>
          <w:spacing w:val="0"/>
          <w:sz w:val="24"/>
        </w:rPr>
        <w:t>消费趋势</w:t>
      </w:r>
      <w:r>
        <w:rPr>
          <w:rFonts w:ascii="宋体" w:hAnsi="宋体" w:eastAsia="宋体" w:cs="宋体"/>
          <w:b w:val="0"/>
          <w:i w:val="0"/>
          <w:spacing w:val="0"/>
          <w:sz w:val="24"/>
        </w:rPr>
        <w:t>：从"养鱼为主"转向"造景为主"，更注重水下景观的美学价值</w:t>
      </w:r>
    </w:p>
    <w:p w14:paraId="729E6359">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商业消费者</w:t>
      </w:r>
      <w:r>
        <w:rPr>
          <w:rFonts w:ascii="宋体" w:hAnsi="宋体" w:eastAsia="宋体" w:cs="宋体"/>
          <w:b w:val="0"/>
          <w:i w:val="0"/>
          <w:spacing w:val="0"/>
          <w:sz w:val="24"/>
        </w:rPr>
        <w:t>：</w:t>
      </w:r>
    </w:p>
    <w:p w14:paraId="4F0783C3">
      <w:pPr>
        <w:pageBreakBefore w:val="0"/>
        <w:numPr>
          <w:ilvl w:val="1"/>
          <w:numId w:val="47"/>
        </w:numPr>
        <w:wordWrap/>
        <w:spacing w:before="160" w:after="0"/>
        <w:ind w:left="880" w:right="0" w:hanging="440"/>
        <w:jc w:val="left"/>
        <w:textAlignment w:val="auto"/>
        <w:rPr>
          <w:sz w:val="24"/>
        </w:rPr>
      </w:pPr>
      <w:r>
        <w:rPr>
          <w:rFonts w:ascii="宋体" w:hAnsi="宋体" w:eastAsia="宋体" w:cs="宋体"/>
          <w:b/>
          <w:i w:val="0"/>
          <w:spacing w:val="0"/>
          <w:sz w:val="24"/>
        </w:rPr>
        <w:t>规模</w:t>
      </w:r>
      <w:r>
        <w:rPr>
          <w:rFonts w:ascii="宋体" w:hAnsi="宋体" w:eastAsia="宋体" w:cs="宋体"/>
          <w:b w:val="0"/>
          <w:i w:val="0"/>
          <w:spacing w:val="0"/>
          <w:sz w:val="24"/>
        </w:rPr>
        <w:t>：占总消费群体8%</w:t>
      </w:r>
    </w:p>
    <w:p w14:paraId="0E4BDC36">
      <w:pPr>
        <w:pageBreakBefore w:val="0"/>
        <w:numPr>
          <w:ilvl w:val="1"/>
          <w:numId w:val="47"/>
        </w:numPr>
        <w:wordWrap/>
        <w:spacing w:before="160" w:after="0"/>
        <w:ind w:left="880" w:right="0" w:hanging="440"/>
        <w:jc w:val="left"/>
        <w:textAlignment w:val="auto"/>
        <w:rPr>
          <w:sz w:val="24"/>
        </w:rPr>
      </w:pPr>
      <w:r>
        <w:rPr>
          <w:rFonts w:ascii="宋体" w:hAnsi="宋体" w:eastAsia="宋体" w:cs="宋体"/>
          <w:b/>
          <w:i w:val="0"/>
          <w:spacing w:val="0"/>
          <w:sz w:val="24"/>
        </w:rPr>
        <w:t>需求特点</w:t>
      </w:r>
      <w:r>
        <w:rPr>
          <w:rFonts w:ascii="宋体" w:hAnsi="宋体" w:eastAsia="宋体" w:cs="宋体"/>
          <w:b w:val="0"/>
          <w:i w:val="0"/>
          <w:spacing w:val="0"/>
          <w:sz w:val="24"/>
        </w:rPr>
        <w:t>：追求大型、震撼的景观效果，对系统稳定性要求高</w:t>
      </w:r>
    </w:p>
    <w:p w14:paraId="1283C19C">
      <w:pPr>
        <w:pageBreakBefore w:val="0"/>
        <w:numPr>
          <w:ilvl w:val="1"/>
          <w:numId w:val="47"/>
        </w:numPr>
        <w:wordWrap/>
        <w:spacing w:before="160" w:after="0"/>
        <w:ind w:left="880" w:right="0" w:hanging="440"/>
        <w:jc w:val="left"/>
        <w:textAlignment w:val="auto"/>
        <w:rPr>
          <w:sz w:val="24"/>
        </w:rPr>
      </w:pPr>
      <w:r>
        <w:rPr>
          <w:rFonts w:ascii="宋体" w:hAnsi="宋体" w:eastAsia="宋体" w:cs="宋体"/>
          <w:b/>
          <w:i w:val="0"/>
          <w:spacing w:val="0"/>
          <w:sz w:val="24"/>
        </w:rPr>
        <w:t>增长点</w:t>
      </w:r>
      <w:r>
        <w:rPr>
          <w:rFonts w:ascii="宋体" w:hAnsi="宋体" w:eastAsia="宋体" w:cs="宋体"/>
          <w:b w:val="0"/>
          <w:i w:val="0"/>
          <w:spacing w:val="0"/>
          <w:sz w:val="24"/>
        </w:rPr>
        <w:t>：智能水族幕墙、互动水族装置增长迅速</w:t>
      </w:r>
    </w:p>
    <w:p w14:paraId="1A796884">
      <w:pPr>
        <w:pageBreakBefore w:val="0"/>
        <w:numPr>
          <w:ilvl w:val="1"/>
          <w:numId w:val="47"/>
        </w:numPr>
        <w:wordWrap/>
        <w:spacing w:before="160" w:after="0"/>
        <w:ind w:left="880" w:right="0" w:hanging="440"/>
        <w:jc w:val="left"/>
        <w:textAlignment w:val="auto"/>
        <w:rPr>
          <w:sz w:val="24"/>
        </w:rPr>
      </w:pPr>
      <w:r>
        <w:rPr>
          <w:rFonts w:ascii="宋体" w:hAnsi="宋体" w:eastAsia="宋体" w:cs="宋体"/>
          <w:b/>
          <w:i w:val="0"/>
          <w:spacing w:val="0"/>
          <w:sz w:val="24"/>
        </w:rPr>
        <w:t>消费趋势</w:t>
      </w:r>
      <w:r>
        <w:rPr>
          <w:rFonts w:ascii="宋体" w:hAnsi="宋体" w:eastAsia="宋体" w:cs="宋体"/>
          <w:b w:val="0"/>
          <w:i w:val="0"/>
          <w:spacing w:val="0"/>
          <w:sz w:val="24"/>
        </w:rPr>
        <w:t>：从"简单展示"转向"生态艺术与商业价值结合"</w:t>
      </w:r>
    </w:p>
    <w:p w14:paraId="0A0C9CAC">
      <w:pPr>
        <w:pageBreakBefore w:val="0"/>
        <w:numPr>
          <w:ilvl w:val="0"/>
          <w:numId w:val="45"/>
        </w:numPr>
        <w:wordWrap/>
        <w:spacing w:before="160" w:after="0"/>
        <w:ind w:left="440" w:right="0" w:hanging="440"/>
        <w:jc w:val="left"/>
        <w:textAlignment w:val="auto"/>
        <w:rPr>
          <w:sz w:val="24"/>
        </w:rPr>
      </w:pPr>
      <w:r>
        <w:rPr>
          <w:rFonts w:ascii="宋体" w:hAnsi="宋体" w:eastAsia="宋体" w:cs="宋体"/>
          <w:b/>
          <w:i w:val="0"/>
          <w:spacing w:val="0"/>
          <w:sz w:val="24"/>
        </w:rPr>
        <w:t>教育消费者</w:t>
      </w:r>
      <w:r>
        <w:rPr>
          <w:rFonts w:ascii="宋体" w:hAnsi="宋体" w:eastAsia="宋体" w:cs="宋体"/>
          <w:b w:val="0"/>
          <w:i w:val="0"/>
          <w:spacing w:val="0"/>
          <w:sz w:val="24"/>
        </w:rPr>
        <w:t>：</w:t>
      </w:r>
    </w:p>
    <w:p w14:paraId="383DB344">
      <w:pPr>
        <w:pageBreakBefore w:val="0"/>
        <w:numPr>
          <w:ilvl w:val="1"/>
          <w:numId w:val="48"/>
        </w:numPr>
        <w:wordWrap/>
        <w:spacing w:before="160" w:after="0"/>
        <w:ind w:left="880" w:right="0" w:hanging="440"/>
        <w:jc w:val="left"/>
        <w:textAlignment w:val="auto"/>
        <w:rPr>
          <w:sz w:val="24"/>
        </w:rPr>
      </w:pPr>
      <w:r>
        <w:rPr>
          <w:rFonts w:ascii="宋体" w:hAnsi="宋体" w:eastAsia="宋体" w:cs="宋体"/>
          <w:b/>
          <w:i w:val="0"/>
          <w:spacing w:val="0"/>
          <w:sz w:val="24"/>
        </w:rPr>
        <w:t>规模</w:t>
      </w:r>
      <w:r>
        <w:rPr>
          <w:rFonts w:ascii="宋体" w:hAnsi="宋体" w:eastAsia="宋体" w:cs="宋体"/>
          <w:b w:val="0"/>
          <w:i w:val="0"/>
          <w:spacing w:val="0"/>
          <w:sz w:val="24"/>
        </w:rPr>
        <w:t>：占总消费群体2%</w:t>
      </w:r>
    </w:p>
    <w:p w14:paraId="7ED51DDB">
      <w:pPr>
        <w:pageBreakBefore w:val="0"/>
        <w:numPr>
          <w:ilvl w:val="1"/>
          <w:numId w:val="48"/>
        </w:numPr>
        <w:wordWrap/>
        <w:spacing w:before="160" w:after="0"/>
        <w:ind w:left="880" w:right="0" w:hanging="440"/>
        <w:jc w:val="left"/>
        <w:textAlignment w:val="auto"/>
        <w:rPr>
          <w:sz w:val="24"/>
        </w:rPr>
      </w:pPr>
      <w:r>
        <w:rPr>
          <w:rFonts w:ascii="宋体" w:hAnsi="宋体" w:eastAsia="宋体" w:cs="宋体"/>
          <w:b/>
          <w:i w:val="0"/>
          <w:spacing w:val="0"/>
          <w:sz w:val="24"/>
        </w:rPr>
        <w:t>需求特点</w:t>
      </w:r>
      <w:r>
        <w:rPr>
          <w:rFonts w:ascii="宋体" w:hAnsi="宋体" w:eastAsia="宋体" w:cs="宋体"/>
          <w:b w:val="0"/>
          <w:i w:val="0"/>
          <w:spacing w:val="0"/>
          <w:sz w:val="24"/>
        </w:rPr>
        <w:t>：追求教育功能与生态价值，对系统稳定性要求极高</w:t>
      </w:r>
    </w:p>
    <w:p w14:paraId="5E4D5E8F">
      <w:pPr>
        <w:pageBreakBefore w:val="0"/>
        <w:numPr>
          <w:ilvl w:val="1"/>
          <w:numId w:val="48"/>
        </w:numPr>
        <w:wordWrap/>
        <w:spacing w:before="160" w:after="0"/>
        <w:ind w:left="880" w:right="0" w:hanging="440"/>
        <w:jc w:val="left"/>
        <w:textAlignment w:val="auto"/>
        <w:rPr>
          <w:sz w:val="24"/>
        </w:rPr>
      </w:pPr>
      <w:r>
        <w:rPr>
          <w:rFonts w:ascii="宋体" w:hAnsi="宋体" w:eastAsia="宋体" w:cs="宋体"/>
          <w:b/>
          <w:i w:val="0"/>
          <w:spacing w:val="0"/>
          <w:sz w:val="24"/>
        </w:rPr>
        <w:t>增长点</w:t>
      </w:r>
      <w:r>
        <w:rPr>
          <w:rFonts w:ascii="宋体" w:hAnsi="宋体" w:eastAsia="宋体" w:cs="宋体"/>
          <w:b w:val="0"/>
          <w:i w:val="0"/>
          <w:spacing w:val="0"/>
          <w:sz w:val="24"/>
        </w:rPr>
        <w:t>：2025年高校水族造景相关课程采购额增长60%</w:t>
      </w:r>
    </w:p>
    <w:p w14:paraId="60463AEC">
      <w:pPr>
        <w:pageBreakBefore w:val="0"/>
        <w:numPr>
          <w:ilvl w:val="1"/>
          <w:numId w:val="48"/>
        </w:numPr>
        <w:wordWrap/>
        <w:spacing w:before="160" w:after="0"/>
        <w:ind w:left="880" w:right="0" w:hanging="440"/>
        <w:jc w:val="left"/>
        <w:textAlignment w:val="auto"/>
        <w:rPr>
          <w:sz w:val="24"/>
        </w:rPr>
      </w:pPr>
      <w:r>
        <w:rPr>
          <w:rFonts w:ascii="宋体" w:hAnsi="宋体" w:eastAsia="宋体" w:cs="宋体"/>
          <w:b/>
          <w:i w:val="0"/>
          <w:spacing w:val="0"/>
          <w:sz w:val="24"/>
        </w:rPr>
        <w:t>消费趋势</w:t>
      </w:r>
      <w:r>
        <w:rPr>
          <w:rFonts w:ascii="宋体" w:hAnsi="宋体" w:eastAsia="宋体" w:cs="宋体"/>
          <w:b w:val="0"/>
          <w:i w:val="0"/>
          <w:spacing w:val="0"/>
          <w:sz w:val="24"/>
        </w:rPr>
        <w:t>：从"展示为主"转向"教学与研究结合"</w:t>
      </w:r>
    </w:p>
    <w:p w14:paraId="4C829160">
      <w:pPr>
        <w:pageBreakBefore w:val="0"/>
        <w:wordWrap/>
        <w:spacing w:before="160" w:after="0"/>
        <w:ind w:left="0" w:right="0"/>
        <w:jc w:val="left"/>
        <w:textAlignment w:val="auto"/>
        <w:rPr>
          <w:rFonts w:ascii="宋体" w:hAnsi="宋体" w:eastAsia="宋体" w:cs="宋体"/>
          <w:b/>
          <w:i w:val="0"/>
          <w:spacing w:val="0"/>
          <w:sz w:val="24"/>
        </w:rPr>
      </w:pPr>
    </w:p>
    <w:p w14:paraId="27A59844">
      <w:pPr>
        <w:pageBreakBefore w:val="0"/>
        <w:wordWrap/>
        <w:spacing w:before="160" w:after="0"/>
        <w:ind w:left="0" w:right="0"/>
        <w:jc w:val="left"/>
        <w:textAlignment w:val="auto"/>
        <w:rPr>
          <w:sz w:val="24"/>
        </w:rPr>
      </w:pPr>
      <w:r>
        <w:rPr>
          <w:rFonts w:ascii="宋体" w:hAnsi="宋体" w:eastAsia="宋体" w:cs="宋体"/>
          <w:b/>
          <w:i w:val="0"/>
          <w:spacing w:val="0"/>
          <w:sz w:val="24"/>
        </w:rPr>
        <w:t>需求变化趋势</w:t>
      </w:r>
      <w:r>
        <w:rPr>
          <w:rFonts w:ascii="宋体" w:hAnsi="宋体" w:eastAsia="宋体" w:cs="宋体"/>
          <w:b w:val="0"/>
          <w:i w:val="0"/>
          <w:spacing w:val="0"/>
          <w:sz w:val="24"/>
        </w:rPr>
        <w:t>：</w:t>
      </w:r>
    </w:p>
    <w:p w14:paraId="65F4111C">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智能化需求上升</w:t>
      </w:r>
      <w:r>
        <w:rPr>
          <w:rFonts w:ascii="宋体" w:hAnsi="宋体" w:eastAsia="宋体" w:cs="宋体"/>
          <w:b w:val="0"/>
          <w:i w:val="0"/>
          <w:spacing w:val="0"/>
          <w:sz w:val="24"/>
        </w:rPr>
        <w:t>：家庭场景智能设备渗透率从2020年的15%上升至2026年的35%，商业场景智能设备渗透率达68%</w:t>
      </w:r>
    </w:p>
    <w:p w14:paraId="1639FB52">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生态友好意识增强</w:t>
      </w:r>
      <w:r>
        <w:rPr>
          <w:rFonts w:ascii="宋体" w:hAnsi="宋体" w:eastAsia="宋体" w:cs="宋体"/>
          <w:b w:val="0"/>
          <w:i w:val="0"/>
          <w:spacing w:val="0"/>
          <w:sz w:val="24"/>
        </w:rPr>
        <w:t>：65%的消费者将"低碳能耗"列为选购首要因素，推动节能设备和材料需求</w:t>
      </w:r>
    </w:p>
    <w:p w14:paraId="3ACFE896">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个性化定制兴起</w:t>
      </w:r>
      <w:r>
        <w:rPr>
          <w:rFonts w:ascii="宋体" w:hAnsi="宋体" w:eastAsia="宋体" w:cs="宋体"/>
          <w:b w:val="0"/>
          <w:i w:val="0"/>
          <w:spacing w:val="0"/>
          <w:sz w:val="24"/>
        </w:rPr>
        <w:t>：消费者对个性化造景需求增加，定制化服务成为增长最快的细分市场</w:t>
      </w:r>
    </w:p>
    <w:p w14:paraId="2440C01C">
      <w:pPr>
        <w:pageBreakBefore w:val="0"/>
        <w:numPr>
          <w:ilvl w:val="0"/>
          <w:numId w:val="49"/>
        </w:numPr>
        <w:wordWrap/>
        <w:spacing w:before="160" w:after="0"/>
        <w:ind w:left="440" w:right="0" w:hanging="440"/>
        <w:jc w:val="left"/>
        <w:textAlignment w:val="auto"/>
        <w:rPr>
          <w:sz w:val="24"/>
        </w:rPr>
      </w:pPr>
      <w:r>
        <w:rPr>
          <w:rFonts w:ascii="宋体" w:hAnsi="宋体" w:eastAsia="宋体" w:cs="宋体"/>
          <w:b/>
          <w:i w:val="0"/>
          <w:spacing w:val="0"/>
          <w:sz w:val="24"/>
        </w:rPr>
        <w:t>本土文化融合</w:t>
      </w:r>
      <w:r>
        <w:rPr>
          <w:rFonts w:ascii="宋体" w:hAnsi="宋体" w:eastAsia="宋体" w:cs="宋体"/>
          <w:b w:val="0"/>
          <w:i w:val="0"/>
          <w:spacing w:val="0"/>
          <w:sz w:val="24"/>
        </w:rPr>
        <w:t>：中式风格造景（如龙王石+青苔模拟溪流）受欢迎，维护成本低于荷兰式</w:t>
      </w:r>
    </w:p>
    <w:p w14:paraId="2F66DAC4">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案例警示</w:t>
      </w:r>
      <w:r>
        <w:rPr>
          <w:rFonts w:ascii="宋体" w:hAnsi="宋体" w:eastAsia="宋体" w:cs="宋体"/>
          <w:b w:val="0"/>
          <w:i w:val="0"/>
          <w:spacing w:val="0"/>
          <w:sz w:val="24"/>
        </w:rPr>
        <w:t>：一位爱好者为追求视觉效果，过度依赖进口水草和设备，导致维护成本过高，最终放弃维护。这表明**"盲目追求高端和进口可能导致维护困难"**，应根据自身能力选择合适的材料和设备。</w:t>
      </w:r>
    </w:p>
    <w:p w14:paraId="491416F2">
      <w:pPr>
        <w:pageBreakBefore w:val="0"/>
        <w:wordWrap/>
        <w:spacing w:before="160" w:after="0"/>
        <w:ind w:left="0" w:right="0"/>
        <w:jc w:val="left"/>
        <w:textAlignment w:val="auto"/>
        <w:rPr>
          <w:sz w:val="28"/>
        </w:rPr>
      </w:pPr>
      <w:r>
        <w:rPr>
          <w:rFonts w:ascii="宋体" w:hAnsi="宋体" w:eastAsia="宋体" w:cs="宋体"/>
          <w:b/>
          <w:i w:val="0"/>
          <w:spacing w:val="0"/>
          <w:sz w:val="28"/>
        </w:rPr>
        <w:t>7.2 技术发展趋势</w:t>
      </w:r>
    </w:p>
    <w:p w14:paraId="6BFBEB9F">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水族造景技术正朝着</w:t>
      </w:r>
      <w:r>
        <w:rPr>
          <w:rFonts w:ascii="宋体" w:hAnsi="宋体" w:eastAsia="宋体" w:cs="宋体"/>
          <w:b/>
          <w:i w:val="0"/>
          <w:spacing w:val="0"/>
          <w:sz w:val="24"/>
        </w:rPr>
        <w:t>智能化、生态可持续和跨界融合</w:t>
      </w:r>
      <w:r>
        <w:rPr>
          <w:rFonts w:ascii="宋体" w:hAnsi="宋体" w:eastAsia="宋体" w:cs="宋体"/>
          <w:b w:val="0"/>
          <w:i w:val="0"/>
          <w:spacing w:val="0"/>
          <w:sz w:val="24"/>
        </w:rPr>
        <w:t>方向快速发展，技术创新成为行业竞争的核心。</w:t>
      </w:r>
    </w:p>
    <w:p w14:paraId="268682FA">
      <w:pPr>
        <w:pageBreakBefore w:val="0"/>
        <w:wordWrap/>
        <w:spacing w:before="160" w:after="0"/>
        <w:ind w:left="0" w:right="0"/>
        <w:jc w:val="left"/>
        <w:textAlignment w:val="auto"/>
        <w:rPr>
          <w:sz w:val="24"/>
        </w:rPr>
      </w:pPr>
      <w:r>
        <w:rPr>
          <w:rFonts w:ascii="宋体" w:hAnsi="宋体" w:eastAsia="宋体" w:cs="宋体"/>
          <w:b/>
          <w:i w:val="0"/>
          <w:spacing w:val="0"/>
          <w:sz w:val="24"/>
        </w:rPr>
        <w:t>7.2.1 智能化与自动化</w:t>
      </w:r>
    </w:p>
    <w:p w14:paraId="406FF6CB">
      <w:pPr>
        <w:pageBreakBefore w:val="0"/>
        <w:wordWrap/>
        <w:spacing w:before="160" w:after="0"/>
        <w:ind w:left="0" w:right="0"/>
        <w:jc w:val="left"/>
        <w:textAlignment w:val="auto"/>
        <w:rPr>
          <w:sz w:val="24"/>
        </w:rPr>
      </w:pPr>
      <w:r>
        <w:rPr>
          <w:rFonts w:ascii="宋体" w:hAnsi="宋体" w:eastAsia="宋体" w:cs="宋体"/>
          <w:b w:val="0"/>
          <w:i w:val="0"/>
          <w:spacing w:val="0"/>
          <w:sz w:val="24"/>
        </w:rPr>
        <w:t>智能化与自动化是水族造景技术发展的主要方向，通过物联网、AI和大数据等技术，实现水族箱的智能管理。</w:t>
      </w:r>
    </w:p>
    <w:p w14:paraId="2BAF864E">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①</w:t>
      </w:r>
      <w:r>
        <w:rPr>
          <w:rFonts w:ascii="宋体" w:hAnsi="宋体" w:eastAsia="宋体" w:cs="宋体"/>
          <w:b/>
          <w:i w:val="0"/>
          <w:spacing w:val="0"/>
          <w:sz w:val="24"/>
        </w:rPr>
        <w:t>智能控制系统技术特点</w:t>
      </w:r>
      <w:r>
        <w:rPr>
          <w:rFonts w:ascii="宋体" w:hAnsi="宋体" w:eastAsia="宋体" w:cs="宋体"/>
          <w:b w:val="0"/>
          <w:i w:val="0"/>
          <w:spacing w:val="0"/>
          <w:sz w:val="24"/>
        </w:rPr>
        <w:t>：</w:t>
      </w:r>
    </w:p>
    <w:p w14:paraId="487A351D">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硬件架构</w:t>
      </w:r>
      <w:r>
        <w:rPr>
          <w:rFonts w:ascii="宋体" w:hAnsi="宋体" w:eastAsia="宋体" w:cs="宋体"/>
          <w:b w:val="0"/>
          <w:i w:val="0"/>
          <w:spacing w:val="0"/>
          <w:sz w:val="24"/>
        </w:rPr>
        <w:t>：基于单片机（如89C51）的控制系统，集成温度、pH、ORP、溶氧等传感器</w:t>
      </w:r>
    </w:p>
    <w:p w14:paraId="03CAEEEB">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功能模块</w:t>
      </w:r>
      <w:r>
        <w:rPr>
          <w:rFonts w:ascii="宋体" w:hAnsi="宋体" w:eastAsia="宋体" w:cs="宋体"/>
          <w:b w:val="0"/>
          <w:i w:val="0"/>
          <w:spacing w:val="0"/>
          <w:sz w:val="24"/>
        </w:rPr>
        <w:t>：自动换水、远程喂食、水质监测与预警、光照自动调节等</w:t>
      </w:r>
    </w:p>
    <w:p w14:paraId="3154DFE3">
      <w:pPr>
        <w:pageBreakBefore w:val="0"/>
        <w:numPr>
          <w:ilvl w:val="0"/>
          <w:numId w:val="50"/>
        </w:numPr>
        <w:wordWrap/>
        <w:spacing w:before="160" w:after="0"/>
        <w:ind w:left="440" w:right="0" w:hanging="440"/>
        <w:jc w:val="left"/>
        <w:textAlignment w:val="auto"/>
        <w:rPr>
          <w:sz w:val="24"/>
        </w:rPr>
      </w:pPr>
      <w:r>
        <w:rPr>
          <w:rFonts w:ascii="宋体" w:hAnsi="宋体" w:eastAsia="宋体" w:cs="宋体"/>
          <w:b/>
          <w:i w:val="0"/>
          <w:spacing w:val="0"/>
          <w:sz w:val="24"/>
        </w:rPr>
        <w:t>故障率</w:t>
      </w:r>
      <w:r>
        <w:rPr>
          <w:rFonts w:ascii="宋体" w:hAnsi="宋体" w:eastAsia="宋体" w:cs="宋体"/>
          <w:b w:val="0"/>
          <w:i w:val="0"/>
          <w:spacing w:val="0"/>
          <w:sz w:val="24"/>
        </w:rPr>
        <w:t>：2026年数据显示，AI水质模型若因算法误差导致预警失败，可能引发用户信任危机，技术路线失败概率约20%</w:t>
      </w:r>
    </w:p>
    <w:p w14:paraId="0C6D8F65">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②</w:t>
      </w:r>
      <w:r>
        <w:rPr>
          <w:rFonts w:ascii="宋体" w:hAnsi="宋体" w:eastAsia="宋体" w:cs="宋体"/>
          <w:b/>
          <w:i w:val="0"/>
          <w:spacing w:val="0"/>
          <w:sz w:val="24"/>
        </w:rPr>
        <w:t>智能系统应用场景</w:t>
      </w:r>
      <w:r>
        <w:rPr>
          <w:rFonts w:ascii="宋体" w:hAnsi="宋体" w:eastAsia="宋体" w:cs="宋体"/>
          <w:b w:val="0"/>
          <w:i w:val="0"/>
          <w:spacing w:val="0"/>
          <w:sz w:val="24"/>
        </w:rPr>
        <w:t>：</w:t>
      </w:r>
    </w:p>
    <w:p w14:paraId="44A773D7">
      <w:pPr>
        <w:pageBreakBefore w:val="0"/>
        <w:numPr>
          <w:ilvl w:val="0"/>
          <w:numId w:val="51"/>
        </w:numPr>
        <w:wordWrap/>
        <w:spacing w:before="160" w:after="0"/>
        <w:ind w:left="440" w:right="0" w:hanging="440"/>
        <w:jc w:val="left"/>
        <w:textAlignment w:val="auto"/>
        <w:rPr>
          <w:sz w:val="24"/>
        </w:rPr>
      </w:pPr>
      <w:r>
        <w:rPr>
          <w:rFonts w:ascii="宋体" w:hAnsi="宋体" w:eastAsia="宋体" w:cs="宋体"/>
          <w:b/>
          <w:i w:val="0"/>
          <w:spacing w:val="0"/>
          <w:sz w:val="24"/>
        </w:rPr>
        <w:t>家庭场景</w:t>
      </w:r>
      <w:r>
        <w:rPr>
          <w:rFonts w:ascii="宋体" w:hAnsi="宋体" w:eastAsia="宋体" w:cs="宋体"/>
          <w:b w:val="0"/>
          <w:i w:val="0"/>
          <w:spacing w:val="0"/>
          <w:sz w:val="24"/>
        </w:rPr>
        <w:t>：小型智能系统（如自动喂食器、水质监测仪）普及率高</w:t>
      </w:r>
    </w:p>
    <w:p w14:paraId="4ECAA269">
      <w:pPr>
        <w:pageBreakBefore w:val="0"/>
        <w:numPr>
          <w:ilvl w:val="0"/>
          <w:numId w:val="51"/>
        </w:numPr>
        <w:wordWrap/>
        <w:spacing w:before="160" w:after="0"/>
        <w:ind w:left="440" w:right="0" w:hanging="440"/>
        <w:jc w:val="left"/>
        <w:textAlignment w:val="auto"/>
        <w:rPr>
          <w:sz w:val="24"/>
        </w:rPr>
      </w:pPr>
      <w:r>
        <w:rPr>
          <w:rFonts w:ascii="宋体" w:hAnsi="宋体" w:eastAsia="宋体" w:cs="宋体"/>
          <w:b/>
          <w:i w:val="0"/>
          <w:spacing w:val="0"/>
          <w:sz w:val="24"/>
        </w:rPr>
        <w:t>商业场景</w:t>
      </w:r>
      <w:r>
        <w:rPr>
          <w:rFonts w:ascii="宋体" w:hAnsi="宋体" w:eastAsia="宋体" w:cs="宋体"/>
          <w:b w:val="0"/>
          <w:i w:val="0"/>
          <w:spacing w:val="0"/>
          <w:sz w:val="24"/>
        </w:rPr>
        <w:t>：大型智能维生系统（如水质自动调节、远程监控）需求增长</w:t>
      </w:r>
    </w:p>
    <w:p w14:paraId="17CAE564">
      <w:pPr>
        <w:pageBreakBefore w:val="0"/>
        <w:numPr>
          <w:ilvl w:val="0"/>
          <w:numId w:val="51"/>
        </w:numPr>
        <w:wordWrap/>
        <w:spacing w:before="160" w:after="0"/>
        <w:ind w:left="440" w:right="0" w:hanging="440"/>
        <w:jc w:val="left"/>
        <w:textAlignment w:val="auto"/>
        <w:rPr>
          <w:sz w:val="24"/>
        </w:rPr>
      </w:pPr>
      <w:r>
        <w:rPr>
          <w:rFonts w:ascii="宋体" w:hAnsi="宋体" w:eastAsia="宋体" w:cs="宋体"/>
          <w:b/>
          <w:i w:val="0"/>
          <w:spacing w:val="0"/>
          <w:sz w:val="24"/>
        </w:rPr>
        <w:t>教育场景</w:t>
      </w:r>
      <w:r>
        <w:rPr>
          <w:rFonts w:ascii="宋体" w:hAnsi="宋体" w:eastAsia="宋体" w:cs="宋体"/>
          <w:b w:val="0"/>
          <w:i w:val="0"/>
          <w:spacing w:val="0"/>
          <w:sz w:val="24"/>
        </w:rPr>
        <w:t>：教学与研究相结合的智能系统（如水质数据采集、生物行为分析）成为新趋势</w:t>
      </w:r>
    </w:p>
    <w:p w14:paraId="06E1C7F2">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：蓝海生态科技的专利</w:t>
      </w:r>
      <w:r>
        <w:rPr>
          <w:rFonts w:ascii="宋体" w:hAnsi="宋体" w:eastAsia="宋体" w:cs="宋体"/>
          <w:b/>
          <w:i w:val="0"/>
          <w:spacing w:val="0"/>
          <w:sz w:val="24"/>
        </w:rPr>
        <w:t>生态过滤技术</w:t>
      </w:r>
      <w:r>
        <w:rPr>
          <w:rFonts w:ascii="宋体" w:hAnsi="宋体" w:eastAsia="宋体" w:cs="宋体"/>
          <w:b w:val="0"/>
          <w:i w:val="0"/>
          <w:spacing w:val="0"/>
          <w:sz w:val="24"/>
        </w:rPr>
        <w:t>可将水质维护成本降低30%，其2025年推出的水质监测仪能实时调节pH值，误差率仅0.1%，大幅降低了维护难度。深圳某商场通过安装智能维生系统，实现了"无人值守"的水族馆管理，年维护成本降低45%。</w:t>
      </w:r>
    </w:p>
    <w:p w14:paraId="42BDB5AF">
      <w:pPr>
        <w:pageBreakBefore w:val="0"/>
        <w:wordWrap/>
        <w:spacing w:before="160" w:after="0"/>
        <w:ind w:left="0" w:right="0"/>
        <w:jc w:val="left"/>
        <w:textAlignment w:val="auto"/>
        <w:rPr>
          <w:rFonts w:ascii="宋体" w:hAnsi="宋体" w:eastAsia="宋体" w:cs="宋体"/>
          <w:b/>
          <w:i w:val="0"/>
          <w:spacing w:val="0"/>
          <w:sz w:val="24"/>
        </w:rPr>
      </w:pPr>
    </w:p>
    <w:p w14:paraId="11809743">
      <w:pPr>
        <w:pageBreakBefore w:val="0"/>
        <w:wordWrap/>
        <w:spacing w:before="160" w:after="0"/>
        <w:ind w:left="0" w:right="0"/>
        <w:jc w:val="left"/>
        <w:textAlignment w:val="auto"/>
        <w:rPr>
          <w:sz w:val="24"/>
        </w:rPr>
      </w:pPr>
      <w:r>
        <w:rPr>
          <w:rFonts w:ascii="宋体" w:hAnsi="宋体" w:eastAsia="宋体" w:cs="宋体"/>
          <w:b/>
          <w:i w:val="0"/>
          <w:spacing w:val="0"/>
          <w:sz w:val="24"/>
        </w:rPr>
        <w:t>7.2.2 生态可持续技术</w:t>
      </w:r>
    </w:p>
    <w:p w14:paraId="55851D42">
      <w:pPr>
        <w:pageBreakBefore w:val="0"/>
        <w:wordWrap/>
        <w:spacing w:before="160" w:after="0"/>
        <w:ind w:left="0" w:right="0"/>
        <w:jc w:val="left"/>
        <w:textAlignment w:val="auto"/>
        <w:rPr>
          <w:sz w:val="24"/>
        </w:rPr>
      </w:pPr>
      <w:r>
        <w:rPr>
          <w:rFonts w:ascii="宋体" w:hAnsi="宋体" w:eastAsia="宋体" w:cs="宋体"/>
          <w:b w:val="0"/>
          <w:i w:val="0"/>
          <w:spacing w:val="0"/>
          <w:sz w:val="24"/>
        </w:rPr>
        <w:t>生态可持续技术是水族造景未来发展的重要方向，通过环保材料和节能设计，实现水族箱的可持续发展。</w:t>
      </w:r>
    </w:p>
    <w:p w14:paraId="2D870F41">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①</w:t>
      </w:r>
      <w:r>
        <w:rPr>
          <w:rFonts w:ascii="宋体" w:hAnsi="宋体" w:eastAsia="宋体" w:cs="宋体"/>
          <w:b/>
          <w:i w:val="0"/>
          <w:spacing w:val="0"/>
          <w:sz w:val="24"/>
        </w:rPr>
        <w:t>新型生态材料技术特点</w:t>
      </w:r>
      <w:r>
        <w:rPr>
          <w:rFonts w:ascii="宋体" w:hAnsi="宋体" w:eastAsia="宋体" w:cs="宋体"/>
          <w:b w:val="0"/>
          <w:i w:val="0"/>
          <w:spacing w:val="0"/>
          <w:sz w:val="24"/>
        </w:rPr>
        <w:t>：</w:t>
      </w:r>
    </w:p>
    <w:p w14:paraId="075D7A95">
      <w:pPr>
        <w:pageBreakBefore w:val="0"/>
        <w:numPr>
          <w:ilvl w:val="0"/>
          <w:numId w:val="52"/>
        </w:numPr>
        <w:wordWrap/>
        <w:spacing w:before="160" w:after="0"/>
        <w:ind w:left="440" w:right="0" w:hanging="440"/>
        <w:jc w:val="left"/>
        <w:textAlignment w:val="auto"/>
        <w:rPr>
          <w:sz w:val="24"/>
        </w:rPr>
      </w:pPr>
      <w:r>
        <w:rPr>
          <w:rFonts w:ascii="宋体" w:hAnsi="宋体" w:eastAsia="宋体" w:cs="宋体"/>
          <w:b/>
          <w:i w:val="0"/>
          <w:spacing w:val="0"/>
          <w:sz w:val="24"/>
        </w:rPr>
        <w:t>可降解材料</w:t>
      </w:r>
      <w:r>
        <w:rPr>
          <w:rFonts w:ascii="宋体" w:hAnsi="宋体" w:eastAsia="宋体" w:cs="宋体"/>
          <w:b w:val="0"/>
          <w:i w:val="0"/>
          <w:spacing w:val="0"/>
          <w:sz w:val="24"/>
        </w:rPr>
        <w:t>：海藻酸盐基质等可降解材料研发，替代塑料制品</w:t>
      </w:r>
    </w:p>
    <w:p w14:paraId="07FD6A85">
      <w:pPr>
        <w:pageBreakBefore w:val="0"/>
        <w:numPr>
          <w:ilvl w:val="0"/>
          <w:numId w:val="52"/>
        </w:numPr>
        <w:wordWrap/>
        <w:spacing w:before="160" w:after="0"/>
        <w:ind w:left="440" w:right="0" w:hanging="440"/>
        <w:jc w:val="left"/>
        <w:textAlignment w:val="auto"/>
        <w:rPr>
          <w:sz w:val="24"/>
        </w:rPr>
      </w:pPr>
      <w:r>
        <w:rPr>
          <w:rFonts w:ascii="宋体" w:hAnsi="宋体" w:eastAsia="宋体" w:cs="宋体"/>
          <w:b/>
          <w:i w:val="0"/>
          <w:spacing w:val="0"/>
          <w:sz w:val="24"/>
        </w:rPr>
        <w:t>节能技术</w:t>
      </w:r>
      <w:r>
        <w:rPr>
          <w:rFonts w:ascii="宋体" w:hAnsi="宋体" w:eastAsia="宋体" w:cs="宋体"/>
          <w:b w:val="0"/>
          <w:i w:val="0"/>
          <w:spacing w:val="0"/>
          <w:sz w:val="24"/>
        </w:rPr>
        <w:t>：纳米涂层技术使清洁周期从7天延长至21天，节能LED灯具能耗降低25%</w:t>
      </w:r>
    </w:p>
    <w:p w14:paraId="295AD3C8">
      <w:pPr>
        <w:pageBreakBefore w:val="0"/>
        <w:numPr>
          <w:ilvl w:val="0"/>
          <w:numId w:val="52"/>
        </w:numPr>
        <w:wordWrap/>
        <w:spacing w:before="160" w:after="0"/>
        <w:ind w:left="440" w:right="0" w:hanging="440"/>
        <w:jc w:val="left"/>
        <w:textAlignment w:val="auto"/>
        <w:rPr>
          <w:sz w:val="24"/>
        </w:rPr>
      </w:pPr>
      <w:r>
        <w:rPr>
          <w:rFonts w:ascii="宋体" w:hAnsi="宋体" w:eastAsia="宋体" w:cs="宋体"/>
          <w:b/>
          <w:i w:val="0"/>
          <w:spacing w:val="0"/>
          <w:sz w:val="24"/>
        </w:rPr>
        <w:t>生态循环技术</w:t>
      </w:r>
      <w:r>
        <w:rPr>
          <w:rFonts w:ascii="宋体" w:hAnsi="宋体" w:eastAsia="宋体" w:cs="宋体"/>
          <w:b w:val="0"/>
          <w:i w:val="0"/>
          <w:spacing w:val="0"/>
          <w:sz w:val="24"/>
        </w:rPr>
        <w:t>：仿生硝化系统、水生植物固碳技术等，提升系统生态稳定性</w:t>
      </w:r>
    </w:p>
    <w:p w14:paraId="0D1D31B2">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②</w:t>
      </w:r>
      <w:r>
        <w:rPr>
          <w:rFonts w:ascii="宋体" w:hAnsi="宋体" w:eastAsia="宋体" w:cs="宋体"/>
          <w:b/>
          <w:i w:val="0"/>
          <w:spacing w:val="0"/>
          <w:sz w:val="24"/>
        </w:rPr>
        <w:t>生态可持续技术应用场景</w:t>
      </w:r>
      <w:r>
        <w:rPr>
          <w:rFonts w:ascii="宋体" w:hAnsi="宋体" w:eastAsia="宋体" w:cs="宋体"/>
          <w:b w:val="0"/>
          <w:i w:val="0"/>
          <w:spacing w:val="0"/>
          <w:sz w:val="24"/>
        </w:rPr>
        <w:t>：</w:t>
      </w:r>
    </w:p>
    <w:p w14:paraId="6124CB1C">
      <w:pPr>
        <w:pageBreakBefore w:val="0"/>
        <w:numPr>
          <w:ilvl w:val="0"/>
          <w:numId w:val="53"/>
        </w:numPr>
        <w:wordWrap/>
        <w:spacing w:before="160" w:after="0"/>
        <w:ind w:left="440" w:right="0" w:hanging="440"/>
        <w:jc w:val="left"/>
        <w:textAlignment w:val="auto"/>
        <w:rPr>
          <w:sz w:val="24"/>
        </w:rPr>
      </w:pPr>
      <w:r>
        <w:rPr>
          <w:rFonts w:ascii="宋体" w:hAnsi="宋体" w:eastAsia="宋体" w:cs="宋体"/>
          <w:b/>
          <w:i w:val="0"/>
          <w:spacing w:val="0"/>
          <w:sz w:val="24"/>
        </w:rPr>
        <w:t>家庭场景</w:t>
      </w:r>
      <w:r>
        <w:rPr>
          <w:rFonts w:ascii="宋体" w:hAnsi="宋体" w:eastAsia="宋体" w:cs="宋体"/>
          <w:b w:val="0"/>
          <w:i w:val="0"/>
          <w:spacing w:val="0"/>
          <w:sz w:val="24"/>
        </w:rPr>
        <w:t>：小型生态循环系统、节能设备成为主流</w:t>
      </w:r>
    </w:p>
    <w:p w14:paraId="60A143E0">
      <w:pPr>
        <w:pageBreakBefore w:val="0"/>
        <w:numPr>
          <w:ilvl w:val="0"/>
          <w:numId w:val="53"/>
        </w:numPr>
        <w:wordWrap/>
        <w:spacing w:before="160" w:after="0"/>
        <w:ind w:left="440" w:right="0" w:hanging="440"/>
        <w:jc w:val="left"/>
        <w:textAlignment w:val="auto"/>
        <w:rPr>
          <w:sz w:val="24"/>
        </w:rPr>
      </w:pPr>
      <w:r>
        <w:rPr>
          <w:rFonts w:ascii="宋体" w:hAnsi="宋体" w:eastAsia="宋体" w:cs="宋体"/>
          <w:b/>
          <w:i w:val="0"/>
          <w:spacing w:val="0"/>
          <w:sz w:val="24"/>
        </w:rPr>
        <w:t>商业场景</w:t>
      </w:r>
      <w:r>
        <w:rPr>
          <w:rFonts w:ascii="宋体" w:hAnsi="宋体" w:eastAsia="宋体" w:cs="宋体"/>
          <w:b w:val="0"/>
          <w:i w:val="0"/>
          <w:spacing w:val="0"/>
          <w:sz w:val="24"/>
        </w:rPr>
        <w:t>：大型生态过滤系统、尾水处理设施需求增长</w:t>
      </w:r>
    </w:p>
    <w:p w14:paraId="54FE2DD3">
      <w:pPr>
        <w:pageBreakBefore w:val="0"/>
        <w:numPr>
          <w:ilvl w:val="0"/>
          <w:numId w:val="53"/>
        </w:numPr>
        <w:wordWrap/>
        <w:spacing w:before="160" w:after="0"/>
        <w:ind w:left="440" w:right="0" w:hanging="440"/>
        <w:jc w:val="left"/>
        <w:textAlignment w:val="auto"/>
        <w:rPr>
          <w:sz w:val="24"/>
        </w:rPr>
      </w:pPr>
      <w:r>
        <w:rPr>
          <w:rFonts w:ascii="宋体" w:hAnsi="宋体" w:eastAsia="宋体" w:cs="宋体"/>
          <w:b/>
          <w:i w:val="0"/>
          <w:spacing w:val="0"/>
          <w:sz w:val="24"/>
        </w:rPr>
        <w:t>教育场景</w:t>
      </w:r>
      <w:r>
        <w:rPr>
          <w:rFonts w:ascii="宋体" w:hAnsi="宋体" w:eastAsia="宋体" w:cs="宋体"/>
          <w:b w:val="0"/>
          <w:i w:val="0"/>
          <w:spacing w:val="0"/>
          <w:sz w:val="24"/>
        </w:rPr>
        <w:t>：生态教育与水族造景结合，成为高校课程新内容</w:t>
      </w:r>
    </w:p>
    <w:p w14:paraId="44ABF9C2">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：广州德洋水族科技有限公司的大型水族工程采用</w:t>
      </w:r>
      <w:r>
        <w:rPr>
          <w:rFonts w:ascii="宋体" w:hAnsi="宋体" w:eastAsia="宋体" w:cs="宋体"/>
          <w:b/>
          <w:i w:val="0"/>
          <w:spacing w:val="0"/>
          <w:sz w:val="24"/>
        </w:rPr>
        <w:t>三重过滤系统</w:t>
      </w:r>
      <w:r>
        <w:rPr>
          <w:rFonts w:ascii="宋体" w:hAnsi="宋体" w:eastAsia="宋体" w:cs="宋体"/>
          <w:b w:val="0"/>
          <w:i w:val="0"/>
          <w:spacing w:val="0"/>
          <w:sz w:val="24"/>
        </w:rPr>
        <w:t>（物理+生物+化学），实现"生态免换水"（年换水≤2次），大幅降低了维护难度和水资源消耗，符合生态可持续发展趋势。福建某水族馆通过安装生态过滤系统，年水耗降低35%，成为行业标杆。</w:t>
      </w:r>
    </w:p>
    <w:p w14:paraId="436FBC6F">
      <w:pPr>
        <w:pageBreakBefore w:val="0"/>
        <w:wordWrap/>
        <w:spacing w:before="160" w:after="0"/>
        <w:ind w:left="0" w:right="0"/>
        <w:jc w:val="left"/>
        <w:textAlignment w:val="auto"/>
        <w:rPr>
          <w:rFonts w:ascii="宋体" w:hAnsi="宋体" w:eastAsia="宋体" w:cs="宋体"/>
          <w:b/>
          <w:i w:val="0"/>
          <w:spacing w:val="0"/>
          <w:sz w:val="24"/>
        </w:rPr>
      </w:pPr>
    </w:p>
    <w:p w14:paraId="3F83DA2D">
      <w:pPr>
        <w:pageBreakBefore w:val="0"/>
        <w:wordWrap/>
        <w:spacing w:before="160" w:after="0"/>
        <w:ind w:left="0" w:right="0"/>
        <w:jc w:val="left"/>
        <w:textAlignment w:val="auto"/>
        <w:rPr>
          <w:sz w:val="24"/>
        </w:rPr>
      </w:pPr>
      <w:r>
        <w:rPr>
          <w:rFonts w:ascii="宋体" w:hAnsi="宋体" w:eastAsia="宋体" w:cs="宋体"/>
          <w:b/>
          <w:i w:val="0"/>
          <w:spacing w:val="0"/>
          <w:sz w:val="24"/>
        </w:rPr>
        <w:t>7.2.3 跨界融合（艺术、科技、教育）</w:t>
      </w:r>
    </w:p>
    <w:p w14:paraId="22884564">
      <w:pPr>
        <w:pageBreakBefore w:val="0"/>
        <w:wordWrap/>
        <w:spacing w:before="160" w:after="0"/>
        <w:ind w:left="0" w:right="0"/>
        <w:jc w:val="left"/>
        <w:textAlignment w:val="auto"/>
        <w:rPr>
          <w:sz w:val="24"/>
        </w:rPr>
      </w:pPr>
      <w:r>
        <w:rPr>
          <w:rFonts w:ascii="宋体" w:hAnsi="宋体" w:eastAsia="宋体" w:cs="宋体"/>
          <w:b w:val="0"/>
          <w:i w:val="0"/>
          <w:spacing w:val="0"/>
          <w:sz w:val="24"/>
        </w:rPr>
        <w:t>跨界融合是水族造景行业未来发展的重要趋势，通过与其他领域的融合，拓展水族造景的应用场景和价值。</w:t>
      </w:r>
    </w:p>
    <w:p w14:paraId="389BA495">
      <w:pPr>
        <w:pageBreakBefore w:val="0"/>
        <w:wordWrap/>
        <w:spacing w:before="160" w:after="0"/>
        <w:ind w:left="0" w:right="0"/>
        <w:jc w:val="left"/>
        <w:textAlignment w:val="auto"/>
        <w:rPr>
          <w:sz w:val="24"/>
        </w:rPr>
      </w:pPr>
      <w:r>
        <w:rPr>
          <w:rFonts w:ascii="宋体" w:hAnsi="宋体" w:eastAsia="宋体" w:cs="宋体"/>
          <w:b/>
          <w:i w:val="0"/>
          <w:spacing w:val="0"/>
          <w:sz w:val="24"/>
        </w:rPr>
        <w:t>艺术与水族造景融合</w:t>
      </w:r>
      <w:r>
        <w:rPr>
          <w:rFonts w:ascii="宋体" w:hAnsi="宋体" w:eastAsia="宋体" w:cs="宋体"/>
          <w:b w:val="0"/>
          <w:i w:val="0"/>
          <w:spacing w:val="0"/>
          <w:sz w:val="24"/>
        </w:rPr>
        <w:t>：</w:t>
      </w:r>
    </w:p>
    <w:p w14:paraId="3C6BBFFA">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风格创新</w:t>
      </w:r>
      <w:r>
        <w:rPr>
          <w:rFonts w:ascii="宋体" w:hAnsi="宋体" w:eastAsia="宋体" w:cs="宋体"/>
          <w:b w:val="0"/>
          <w:i w:val="0"/>
          <w:spacing w:val="0"/>
          <w:sz w:val="24"/>
        </w:rPr>
        <w:t>：中式风格、现代简约风等新风格兴起</w:t>
      </w:r>
    </w:p>
    <w:p w14:paraId="7842CC1D">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材料创新</w:t>
      </w:r>
      <w:r>
        <w:rPr>
          <w:rFonts w:ascii="宋体" w:hAnsi="宋体" w:eastAsia="宋体" w:cs="宋体"/>
          <w:b w:val="0"/>
          <w:i w:val="0"/>
          <w:spacing w:val="0"/>
          <w:sz w:val="24"/>
        </w:rPr>
        <w:t>：3D打印沉木、陶瓷摆件等艺术化材料应用</w:t>
      </w:r>
    </w:p>
    <w:p w14:paraId="7971A2DF">
      <w:pPr>
        <w:pageBreakBefore w:val="0"/>
        <w:numPr>
          <w:ilvl w:val="0"/>
          <w:numId w:val="54"/>
        </w:numPr>
        <w:wordWrap/>
        <w:spacing w:before="160" w:after="0"/>
        <w:ind w:left="440" w:right="0" w:hanging="440"/>
        <w:jc w:val="left"/>
        <w:textAlignment w:val="auto"/>
        <w:rPr>
          <w:sz w:val="24"/>
        </w:rPr>
      </w:pPr>
      <w:r>
        <w:rPr>
          <w:rFonts w:ascii="宋体" w:hAnsi="宋体" w:eastAsia="宋体" w:cs="宋体"/>
          <w:b/>
          <w:i w:val="0"/>
          <w:spacing w:val="0"/>
          <w:sz w:val="24"/>
        </w:rPr>
        <w:t>设计创新</w:t>
      </w:r>
      <w:r>
        <w:rPr>
          <w:rFonts w:ascii="宋体" w:hAnsi="宋体" w:eastAsia="宋体" w:cs="宋体"/>
          <w:b w:val="0"/>
          <w:i w:val="0"/>
          <w:spacing w:val="0"/>
          <w:sz w:val="24"/>
        </w:rPr>
        <w:t>：结合室内设计的水族造景，成为家居装饰新趋势</w:t>
      </w:r>
    </w:p>
    <w:p w14:paraId="2511E5BD">
      <w:pPr>
        <w:pageBreakBefore w:val="0"/>
        <w:wordWrap/>
        <w:spacing w:before="160" w:after="0"/>
        <w:ind w:left="0" w:right="0"/>
        <w:jc w:val="left"/>
        <w:textAlignment w:val="auto"/>
        <w:rPr>
          <w:sz w:val="24"/>
        </w:rPr>
      </w:pPr>
      <w:r>
        <w:rPr>
          <w:rFonts w:ascii="宋体" w:hAnsi="宋体" w:eastAsia="宋体" w:cs="宋体"/>
          <w:b/>
          <w:i w:val="0"/>
          <w:spacing w:val="0"/>
          <w:sz w:val="24"/>
        </w:rPr>
        <w:t>科技与水族造景融合</w:t>
      </w:r>
      <w:r>
        <w:rPr>
          <w:rFonts w:ascii="宋体" w:hAnsi="宋体" w:eastAsia="宋体" w:cs="宋体"/>
          <w:b w:val="0"/>
          <w:i w:val="0"/>
          <w:spacing w:val="0"/>
          <w:sz w:val="24"/>
        </w:rPr>
        <w:t>：</w:t>
      </w:r>
    </w:p>
    <w:p w14:paraId="37562D68">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智能技术</w:t>
      </w:r>
      <w:r>
        <w:rPr>
          <w:rFonts w:ascii="宋体" w:hAnsi="宋体" w:eastAsia="宋体" w:cs="宋体"/>
          <w:b w:val="0"/>
          <w:i w:val="0"/>
          <w:spacing w:val="0"/>
          <w:sz w:val="24"/>
        </w:rPr>
        <w:t>：物联网、AI、大数据等技术应用于水族造景管理</w:t>
      </w:r>
    </w:p>
    <w:p w14:paraId="24FEE6C9">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虚拟现实</w:t>
      </w:r>
      <w:r>
        <w:rPr>
          <w:rFonts w:ascii="宋体" w:hAnsi="宋体" w:eastAsia="宋体" w:cs="宋体"/>
          <w:b w:val="0"/>
          <w:i w:val="0"/>
          <w:spacing w:val="0"/>
          <w:sz w:val="24"/>
        </w:rPr>
        <w:t>：VR/AR技术用于水族造景设计与体验</w:t>
      </w:r>
    </w:p>
    <w:p w14:paraId="1BB969FF">
      <w:pPr>
        <w:pageBreakBefore w:val="0"/>
        <w:numPr>
          <w:ilvl w:val="0"/>
          <w:numId w:val="55"/>
        </w:numPr>
        <w:wordWrap/>
        <w:spacing w:before="160" w:after="0"/>
        <w:ind w:left="440" w:right="0" w:hanging="440"/>
        <w:jc w:val="left"/>
        <w:textAlignment w:val="auto"/>
        <w:rPr>
          <w:sz w:val="24"/>
        </w:rPr>
      </w:pPr>
      <w:r>
        <w:rPr>
          <w:rFonts w:ascii="宋体" w:hAnsi="宋体" w:eastAsia="宋体" w:cs="宋体"/>
          <w:b/>
          <w:i w:val="0"/>
          <w:spacing w:val="0"/>
          <w:sz w:val="24"/>
        </w:rPr>
        <w:t>生物技术</w:t>
      </w:r>
      <w:r>
        <w:rPr>
          <w:rFonts w:ascii="宋体" w:hAnsi="宋体" w:eastAsia="宋体" w:cs="宋体"/>
          <w:b w:val="0"/>
          <w:i w:val="0"/>
          <w:spacing w:val="0"/>
          <w:sz w:val="24"/>
        </w:rPr>
        <w:t>：基因编辑、克隆等技术应用于水生生物培育</w:t>
      </w:r>
    </w:p>
    <w:p w14:paraId="2D46D39B">
      <w:pPr>
        <w:pageBreakBefore w:val="0"/>
        <w:wordWrap/>
        <w:spacing w:before="160" w:after="0"/>
        <w:ind w:left="0" w:right="0"/>
        <w:jc w:val="left"/>
        <w:textAlignment w:val="auto"/>
        <w:rPr>
          <w:sz w:val="24"/>
        </w:rPr>
      </w:pPr>
      <w:r>
        <w:rPr>
          <w:rFonts w:ascii="宋体" w:hAnsi="宋体" w:eastAsia="宋体" w:cs="宋体"/>
          <w:b/>
          <w:i w:val="0"/>
          <w:spacing w:val="0"/>
          <w:sz w:val="24"/>
        </w:rPr>
        <w:t>教育与水族造景融合</w:t>
      </w:r>
      <w:r>
        <w:rPr>
          <w:rFonts w:ascii="宋体" w:hAnsi="宋体" w:eastAsia="宋体" w:cs="宋体"/>
          <w:b w:val="0"/>
          <w:i w:val="0"/>
          <w:spacing w:val="0"/>
          <w:sz w:val="24"/>
        </w:rPr>
        <w:t>：</w:t>
      </w:r>
    </w:p>
    <w:p w14:paraId="70F11FEA">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教学工具</w:t>
      </w:r>
      <w:r>
        <w:rPr>
          <w:rFonts w:ascii="宋体" w:hAnsi="宋体" w:eastAsia="宋体" w:cs="宋体"/>
          <w:b w:val="0"/>
          <w:i w:val="0"/>
          <w:spacing w:val="0"/>
          <w:sz w:val="24"/>
        </w:rPr>
        <w:t>：水族箱作为教学工具，用于生态学、生物学等学科教学</w:t>
      </w:r>
    </w:p>
    <w:p w14:paraId="304B3673">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科普平台</w:t>
      </w:r>
      <w:r>
        <w:rPr>
          <w:rFonts w:ascii="宋体" w:hAnsi="宋体" w:eastAsia="宋体" w:cs="宋体"/>
          <w:b w:val="0"/>
          <w:i w:val="0"/>
          <w:spacing w:val="0"/>
          <w:sz w:val="24"/>
        </w:rPr>
        <w:t>：水族馆、科普馆等场所的水族造景成为科普教育新平台</w:t>
      </w:r>
    </w:p>
    <w:p w14:paraId="79635185">
      <w:pPr>
        <w:pageBreakBefore w:val="0"/>
        <w:numPr>
          <w:ilvl w:val="0"/>
          <w:numId w:val="56"/>
        </w:numPr>
        <w:wordWrap/>
        <w:spacing w:before="160" w:after="0"/>
        <w:ind w:left="440" w:right="0" w:hanging="440"/>
        <w:jc w:val="left"/>
        <w:textAlignment w:val="auto"/>
        <w:rPr>
          <w:sz w:val="24"/>
        </w:rPr>
      </w:pPr>
      <w:r>
        <w:rPr>
          <w:rFonts w:ascii="宋体" w:hAnsi="宋体" w:eastAsia="宋体" w:cs="宋体"/>
          <w:b/>
          <w:i w:val="0"/>
          <w:spacing w:val="0"/>
          <w:sz w:val="24"/>
        </w:rPr>
        <w:t>实践教育</w:t>
      </w:r>
      <w:r>
        <w:rPr>
          <w:rFonts w:ascii="宋体" w:hAnsi="宋体" w:eastAsia="宋体" w:cs="宋体"/>
          <w:b w:val="0"/>
          <w:i w:val="0"/>
          <w:spacing w:val="0"/>
          <w:sz w:val="24"/>
        </w:rPr>
        <w:t>：水族造景作为实践教育项目，培养跨学科思维和创造力</w:t>
      </w:r>
    </w:p>
    <w:p w14:paraId="37C71994">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华中农业大学的"水族景观规划与设计"课程将水族造景与生态学、艺术设计等学科结合，培养学生跨学科思维和创造力。青岛农业大学2025年水族造景技能大赛采用"设计图+三维效果"评分，推动产教融合。这表明**"跨界融合"**已成为水族造景行业发展的重要趋势。</w:t>
      </w:r>
    </w:p>
    <w:p w14:paraId="1EB9D80C">
      <w:pPr>
        <w:pageBreakBefore w:val="0"/>
        <w:wordWrap/>
        <w:spacing w:before="160" w:after="0"/>
        <w:ind w:left="0" w:right="0"/>
        <w:jc w:val="left"/>
        <w:textAlignment w:val="auto"/>
        <w:rPr>
          <w:sz w:val="28"/>
        </w:rPr>
      </w:pPr>
      <w:r>
        <w:rPr>
          <w:rFonts w:ascii="宋体" w:hAnsi="宋体" w:eastAsia="宋体" w:cs="宋体"/>
          <w:b/>
          <w:i w:val="0"/>
          <w:spacing w:val="0"/>
          <w:sz w:val="28"/>
        </w:rPr>
        <w:t>7.3 挑战与机遇</w:t>
      </w:r>
    </w:p>
    <w:p w14:paraId="70AE082B">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水族造景行业面临诸多挑战，同时也蕴含巨大机遇，需通过技术创新、政策引导和消费者教育应对挑战，把握机遇。</w:t>
      </w:r>
    </w:p>
    <w:p w14:paraId="12550A5C">
      <w:pPr>
        <w:pageBreakBefore w:val="0"/>
        <w:wordWrap/>
        <w:spacing w:before="160" w:after="0"/>
        <w:ind w:left="0" w:right="0"/>
        <w:jc w:val="left"/>
        <w:textAlignment w:val="auto"/>
        <w:rPr>
          <w:sz w:val="24"/>
        </w:rPr>
      </w:pPr>
      <w:r>
        <w:rPr>
          <w:rFonts w:ascii="宋体" w:hAnsi="宋体" w:eastAsia="宋体" w:cs="宋体"/>
          <w:b/>
          <w:i w:val="0"/>
          <w:spacing w:val="0"/>
          <w:sz w:val="24"/>
        </w:rPr>
        <w:t>7.3.1 环保法规的影响</w:t>
      </w:r>
    </w:p>
    <w:p w14:paraId="6E22885D">
      <w:pPr>
        <w:pageBreakBefore w:val="0"/>
        <w:wordWrap/>
        <w:spacing w:before="160" w:after="0"/>
        <w:ind w:left="0" w:right="0"/>
        <w:jc w:val="left"/>
        <w:textAlignment w:val="auto"/>
        <w:rPr>
          <w:sz w:val="24"/>
        </w:rPr>
      </w:pPr>
      <w:r>
        <w:rPr>
          <w:rFonts w:ascii="宋体" w:hAnsi="宋体" w:eastAsia="宋体" w:cs="宋体"/>
          <w:b w:val="0"/>
          <w:i w:val="0"/>
          <w:spacing w:val="0"/>
          <w:sz w:val="24"/>
        </w:rPr>
        <w:t>环保法规对水族造景行业的影响日益显著，从生物引进到材料使用，均需符合环保要求。</w:t>
      </w:r>
    </w:p>
    <w:p w14:paraId="4445EBEF">
      <w:pPr>
        <w:pageBreakBefore w:val="0"/>
        <w:wordWrap/>
        <w:spacing w:before="160" w:after="0"/>
        <w:ind w:left="0" w:right="0"/>
        <w:jc w:val="left"/>
        <w:textAlignment w:val="auto"/>
        <w:rPr>
          <w:sz w:val="24"/>
        </w:rPr>
      </w:pPr>
      <w:r>
        <w:rPr>
          <w:rFonts w:ascii="宋体" w:hAnsi="宋体" w:eastAsia="宋体" w:cs="宋体"/>
          <w:b/>
          <w:i w:val="0"/>
          <w:spacing w:val="0"/>
          <w:sz w:val="24"/>
        </w:rPr>
        <w:t>环保法规变化</w:t>
      </w:r>
      <w:r>
        <w:rPr>
          <w:rFonts w:ascii="宋体" w:hAnsi="宋体" w:eastAsia="宋体" w:cs="宋体"/>
          <w:b w:val="0"/>
          <w:i w:val="0"/>
          <w:spacing w:val="0"/>
          <w:sz w:val="24"/>
        </w:rPr>
        <w:t>：</w:t>
      </w:r>
    </w:p>
    <w:p w14:paraId="657A2D08">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2023年《重点管理外来入侵物种名录》</w:t>
      </w:r>
      <w:r>
        <w:rPr>
          <w:rFonts w:ascii="宋体" w:hAnsi="宋体" w:eastAsia="宋体" w:cs="宋体"/>
          <w:b w:val="0"/>
          <w:i w:val="0"/>
          <w:spacing w:val="0"/>
          <w:sz w:val="24"/>
        </w:rPr>
        <w:t>：将清道夫、鳄雀鳝等列入管控，推动本土水草和生物需求增长</w:t>
      </w:r>
    </w:p>
    <w:p w14:paraId="631219FC">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2025年新修订《渔业法》</w:t>
      </w:r>
      <w:r>
        <w:rPr>
          <w:rFonts w:ascii="宋体" w:hAnsi="宋体" w:eastAsia="宋体" w:cs="宋体"/>
          <w:b w:val="0"/>
          <w:i w:val="0"/>
          <w:spacing w:val="0"/>
          <w:sz w:val="24"/>
        </w:rPr>
        <w:t>：确立"绿色发展"为基本原则，强化渔业水域生态环境保护措施</w:t>
      </w:r>
    </w:p>
    <w:p w14:paraId="49D3151B">
      <w:pPr>
        <w:pageBreakBefore w:val="0"/>
        <w:numPr>
          <w:ilvl w:val="0"/>
          <w:numId w:val="57"/>
        </w:numPr>
        <w:wordWrap/>
        <w:spacing w:before="160" w:after="0"/>
        <w:ind w:left="440" w:right="0" w:hanging="440"/>
        <w:jc w:val="left"/>
        <w:textAlignment w:val="auto"/>
        <w:rPr>
          <w:sz w:val="24"/>
        </w:rPr>
      </w:pPr>
      <w:r>
        <w:rPr>
          <w:rFonts w:ascii="宋体" w:hAnsi="宋体" w:eastAsia="宋体" w:cs="宋体"/>
          <w:b/>
          <w:i w:val="0"/>
          <w:spacing w:val="0"/>
          <w:sz w:val="24"/>
        </w:rPr>
        <w:t>2026年《渔业法》实施</w:t>
      </w:r>
      <w:r>
        <w:rPr>
          <w:rFonts w:ascii="宋体" w:hAnsi="宋体" w:eastAsia="宋体" w:cs="宋体"/>
          <w:b w:val="0"/>
          <w:i w:val="0"/>
          <w:spacing w:val="0"/>
          <w:sz w:val="24"/>
        </w:rPr>
        <w:t>：对水族造景提出更严格要求，如尾水达标排放、外来物种管控等</w:t>
      </w:r>
    </w:p>
    <w:p w14:paraId="63DC8072">
      <w:pPr>
        <w:pageBreakBefore w:val="0"/>
        <w:wordWrap/>
        <w:spacing w:before="160" w:after="0"/>
        <w:ind w:left="0" w:right="0"/>
        <w:jc w:val="left"/>
        <w:textAlignment w:val="auto"/>
        <w:rPr>
          <w:sz w:val="24"/>
        </w:rPr>
      </w:pPr>
      <w:r>
        <w:rPr>
          <w:rFonts w:ascii="宋体" w:hAnsi="宋体" w:eastAsia="宋体" w:cs="宋体"/>
          <w:b/>
          <w:i w:val="0"/>
          <w:spacing w:val="0"/>
          <w:sz w:val="24"/>
        </w:rPr>
        <w:t>法规对行业的影响</w:t>
      </w:r>
      <w:r>
        <w:rPr>
          <w:rFonts w:ascii="宋体" w:hAnsi="宋体" w:eastAsia="宋体" w:cs="宋体"/>
          <w:b w:val="0"/>
          <w:i w:val="0"/>
          <w:spacing w:val="0"/>
          <w:sz w:val="24"/>
        </w:rPr>
        <w:t>：</w:t>
      </w:r>
    </w:p>
    <w:p w14:paraId="5362BDCD">
      <w:pPr>
        <w:pageBreakBefore w:val="0"/>
        <w:numPr>
          <w:ilvl w:val="0"/>
          <w:numId w:val="58"/>
        </w:numPr>
        <w:wordWrap/>
        <w:spacing w:before="160" w:after="0"/>
        <w:ind w:left="440" w:right="0" w:hanging="440"/>
        <w:jc w:val="left"/>
        <w:textAlignment w:val="auto"/>
        <w:rPr>
          <w:sz w:val="24"/>
        </w:rPr>
      </w:pPr>
      <w:r>
        <w:rPr>
          <w:rFonts w:ascii="宋体" w:hAnsi="宋体" w:eastAsia="宋体" w:cs="宋体"/>
          <w:b/>
          <w:i w:val="0"/>
          <w:spacing w:val="0"/>
          <w:sz w:val="24"/>
        </w:rPr>
        <w:t>机遇</w:t>
      </w:r>
      <w:r>
        <w:rPr>
          <w:rFonts w:ascii="宋体" w:hAnsi="宋体" w:eastAsia="宋体" w:cs="宋体"/>
          <w:b w:val="0"/>
          <w:i w:val="0"/>
          <w:spacing w:val="0"/>
          <w:sz w:val="24"/>
        </w:rPr>
        <w:t>：</w:t>
      </w:r>
    </w:p>
    <w:p w14:paraId="24407C5E">
      <w:pPr>
        <w:pageBreakBefore w:val="0"/>
        <w:numPr>
          <w:ilvl w:val="1"/>
          <w:numId w:val="59"/>
        </w:numPr>
        <w:wordWrap/>
        <w:spacing w:before="160" w:after="0"/>
        <w:ind w:left="880" w:right="0" w:hanging="440"/>
        <w:jc w:val="left"/>
        <w:textAlignment w:val="auto"/>
        <w:rPr>
          <w:sz w:val="24"/>
        </w:rPr>
      </w:pPr>
      <w:r>
        <w:rPr>
          <w:rFonts w:ascii="宋体" w:hAnsi="宋体" w:eastAsia="宋体" w:cs="宋体"/>
          <w:b w:val="0"/>
          <w:i w:val="0"/>
          <w:spacing w:val="0"/>
          <w:sz w:val="24"/>
        </w:rPr>
        <w:t>推动本土水草和生物需求增长，2025年原生鱼市场规模达30亿元（2024年为12亿元）</w:t>
      </w:r>
    </w:p>
    <w:p w14:paraId="265D3DE0">
      <w:pPr>
        <w:pageBreakBefore w:val="0"/>
        <w:numPr>
          <w:ilvl w:val="1"/>
          <w:numId w:val="59"/>
        </w:numPr>
        <w:wordWrap/>
        <w:spacing w:before="160" w:after="0"/>
        <w:ind w:left="880" w:right="0" w:hanging="440"/>
        <w:jc w:val="left"/>
        <w:textAlignment w:val="auto"/>
        <w:rPr>
          <w:sz w:val="24"/>
        </w:rPr>
      </w:pPr>
      <w:r>
        <w:rPr>
          <w:rFonts w:ascii="宋体" w:hAnsi="宋体" w:eastAsia="宋体" w:cs="宋体"/>
          <w:b w:val="0"/>
          <w:i w:val="0"/>
          <w:spacing w:val="0"/>
          <w:sz w:val="24"/>
        </w:rPr>
        <w:t>促进环保材料和节能技术发展，如纳米涂层过滤器、低能耗LED灯具等</w:t>
      </w:r>
    </w:p>
    <w:p w14:paraId="109C2DB5">
      <w:pPr>
        <w:pageBreakBefore w:val="0"/>
        <w:numPr>
          <w:ilvl w:val="1"/>
          <w:numId w:val="59"/>
        </w:numPr>
        <w:wordWrap/>
        <w:spacing w:before="160" w:after="0"/>
        <w:ind w:left="880" w:right="0" w:hanging="440"/>
        <w:jc w:val="left"/>
        <w:textAlignment w:val="auto"/>
        <w:rPr>
          <w:sz w:val="24"/>
        </w:rPr>
      </w:pPr>
      <w:r>
        <w:rPr>
          <w:rFonts w:ascii="宋体" w:hAnsi="宋体" w:eastAsia="宋体" w:cs="宋体"/>
          <w:b w:val="0"/>
          <w:i w:val="0"/>
          <w:spacing w:val="0"/>
          <w:sz w:val="24"/>
        </w:rPr>
        <w:t>带动专业维护服务需求，2026年维护服务市场规模预计达80亿元，年增长率18%</w:t>
      </w:r>
    </w:p>
    <w:p w14:paraId="5926FB06">
      <w:pPr>
        <w:pageBreakBefore w:val="0"/>
        <w:numPr>
          <w:ilvl w:val="0"/>
          <w:numId w:val="58"/>
        </w:numPr>
        <w:wordWrap/>
        <w:spacing w:before="160" w:after="0"/>
        <w:ind w:left="440" w:right="0" w:hanging="440"/>
        <w:jc w:val="left"/>
        <w:textAlignment w:val="auto"/>
        <w:rPr>
          <w:sz w:val="24"/>
        </w:rPr>
      </w:pPr>
      <w:r>
        <w:rPr>
          <w:rFonts w:ascii="宋体" w:hAnsi="宋体" w:eastAsia="宋体" w:cs="宋体"/>
          <w:b/>
          <w:i w:val="0"/>
          <w:spacing w:val="0"/>
          <w:sz w:val="24"/>
        </w:rPr>
        <w:t>挑战</w:t>
      </w:r>
      <w:r>
        <w:rPr>
          <w:rFonts w:ascii="宋体" w:hAnsi="宋体" w:eastAsia="宋体" w:cs="宋体"/>
          <w:b w:val="0"/>
          <w:i w:val="0"/>
          <w:spacing w:val="0"/>
          <w:sz w:val="24"/>
        </w:rPr>
        <w:t>：</w:t>
      </w:r>
    </w:p>
    <w:p w14:paraId="4EAF7E94">
      <w:pPr>
        <w:pageBreakBefore w:val="0"/>
        <w:numPr>
          <w:ilvl w:val="1"/>
          <w:numId w:val="60"/>
        </w:numPr>
        <w:wordWrap/>
        <w:spacing w:before="160" w:after="0"/>
        <w:ind w:left="880" w:right="0" w:hanging="440"/>
        <w:jc w:val="left"/>
        <w:textAlignment w:val="auto"/>
        <w:rPr>
          <w:sz w:val="24"/>
        </w:rPr>
      </w:pPr>
      <w:r>
        <w:rPr>
          <w:rFonts w:ascii="宋体" w:hAnsi="宋体" w:eastAsia="宋体" w:cs="宋体"/>
          <w:b w:val="0"/>
          <w:i w:val="0"/>
          <w:spacing w:val="0"/>
          <w:sz w:val="24"/>
        </w:rPr>
        <w:t>增加合规成本，商业项目需额外投入15%-20%用于生态过滤系统</w:t>
      </w:r>
    </w:p>
    <w:p w14:paraId="78DA10E5">
      <w:pPr>
        <w:pageBreakBefore w:val="0"/>
        <w:numPr>
          <w:ilvl w:val="1"/>
          <w:numId w:val="60"/>
        </w:numPr>
        <w:wordWrap/>
        <w:spacing w:before="160" w:after="0"/>
        <w:ind w:left="880" w:right="0" w:hanging="440"/>
        <w:jc w:val="left"/>
        <w:textAlignment w:val="auto"/>
        <w:rPr>
          <w:sz w:val="24"/>
        </w:rPr>
      </w:pPr>
      <w:r>
        <w:rPr>
          <w:rFonts w:ascii="宋体" w:hAnsi="宋体" w:eastAsia="宋体" w:cs="宋体"/>
          <w:b w:val="0"/>
          <w:i w:val="0"/>
          <w:spacing w:val="0"/>
          <w:sz w:val="24"/>
        </w:rPr>
        <w:t>限制某些观赏鱼和水草的引进，影响市场多样性</w:t>
      </w:r>
    </w:p>
    <w:p w14:paraId="20887086">
      <w:pPr>
        <w:pageBreakBefore w:val="0"/>
        <w:numPr>
          <w:ilvl w:val="1"/>
          <w:numId w:val="60"/>
        </w:numPr>
        <w:wordWrap/>
        <w:spacing w:before="160" w:after="0"/>
        <w:ind w:left="880" w:right="0" w:hanging="440"/>
        <w:jc w:val="left"/>
        <w:textAlignment w:val="auto"/>
        <w:rPr>
          <w:sz w:val="24"/>
        </w:rPr>
      </w:pPr>
      <w:r>
        <w:rPr>
          <w:rFonts w:ascii="宋体" w:hAnsi="宋体" w:eastAsia="宋体" w:cs="宋体"/>
          <w:b w:val="0"/>
          <w:i w:val="0"/>
          <w:spacing w:val="0"/>
          <w:sz w:val="24"/>
        </w:rPr>
        <w:t>提高技术门槛，推动行业向专业化、规范化发展</w:t>
      </w:r>
    </w:p>
    <w:p w14:paraId="2D13982B">
      <w:pPr>
        <w:pageBreakBefore w:val="0"/>
        <w:wordWrap/>
        <w:spacing w:before="160" w:after="0"/>
        <w:ind w:left="0" w:right="0"/>
        <w:jc w:val="left"/>
        <w:textAlignment w:val="auto"/>
        <w:rPr>
          <w:sz w:val="24"/>
        </w:rPr>
      </w:pPr>
      <w:r>
        <w:rPr>
          <w:rFonts w:ascii="宋体" w:hAnsi="宋体" w:eastAsia="宋体" w:cs="宋体"/>
          <w:b/>
          <w:i w:val="0"/>
          <w:spacing w:val="0"/>
          <w:sz w:val="24"/>
        </w:rPr>
        <w:t>案例警示</w:t>
      </w:r>
      <w:r>
        <w:rPr>
          <w:rFonts w:ascii="宋体" w:hAnsi="宋体" w:eastAsia="宋体" w:cs="宋体"/>
          <w:b w:val="0"/>
          <w:i w:val="0"/>
          <w:spacing w:val="0"/>
          <w:sz w:val="24"/>
        </w:rPr>
        <w:t>：2025年3月，天津某水族馆因非法售卖国家一级保护动物"长丝鱼芒"（成吉思汗鲨）被查处，罚款10万元并停业整顿。这表明**"环保法规对水族造景行业的监管日益严格"**，从业者必须严格遵守法规，选择合法渠道的生物和材料。</w:t>
      </w:r>
    </w:p>
    <w:p w14:paraId="3666FF70">
      <w:pPr>
        <w:pageBreakBefore w:val="0"/>
        <w:wordWrap/>
        <w:spacing w:before="160" w:after="0"/>
        <w:ind w:left="0" w:right="0"/>
        <w:jc w:val="left"/>
        <w:textAlignment w:val="auto"/>
        <w:rPr>
          <w:rFonts w:ascii="宋体" w:hAnsi="宋体" w:eastAsia="宋体" w:cs="宋体"/>
          <w:b/>
          <w:i w:val="0"/>
          <w:spacing w:val="0"/>
          <w:sz w:val="24"/>
        </w:rPr>
      </w:pPr>
    </w:p>
    <w:p w14:paraId="73E02A4B">
      <w:pPr>
        <w:pageBreakBefore w:val="0"/>
        <w:wordWrap/>
        <w:spacing w:before="160" w:after="0"/>
        <w:ind w:left="0" w:right="0"/>
        <w:jc w:val="left"/>
        <w:textAlignment w:val="auto"/>
        <w:rPr>
          <w:sz w:val="24"/>
        </w:rPr>
      </w:pPr>
      <w:r>
        <w:rPr>
          <w:rFonts w:ascii="宋体" w:hAnsi="宋体" w:eastAsia="宋体" w:cs="宋体"/>
          <w:b/>
          <w:i w:val="0"/>
          <w:spacing w:val="0"/>
          <w:sz w:val="24"/>
        </w:rPr>
        <w:t>7.3.2 消费者教育需求</w:t>
      </w:r>
    </w:p>
    <w:p w14:paraId="16ECD686">
      <w:pPr>
        <w:pageBreakBefore w:val="0"/>
        <w:wordWrap/>
        <w:spacing w:before="160" w:after="0"/>
        <w:ind w:left="0" w:right="0"/>
        <w:jc w:val="left"/>
        <w:textAlignment w:val="auto"/>
        <w:rPr>
          <w:sz w:val="24"/>
        </w:rPr>
      </w:pPr>
      <w:r>
        <w:rPr>
          <w:rFonts w:ascii="宋体" w:hAnsi="宋体" w:eastAsia="宋体" w:cs="宋体"/>
          <w:b w:val="0"/>
          <w:i w:val="0"/>
          <w:spacing w:val="0"/>
          <w:sz w:val="24"/>
        </w:rPr>
        <w:t>消费者教育是水族造景行业未来发展的重要方向，通过提升消费者知识水平，降低维护难度，促进市场健康发展。</w:t>
      </w:r>
    </w:p>
    <w:p w14:paraId="7B2CD15B">
      <w:pPr>
        <w:pageBreakBefore w:val="0"/>
        <w:wordWrap/>
        <w:spacing w:before="160" w:after="0"/>
        <w:ind w:left="0" w:right="0"/>
        <w:jc w:val="left"/>
        <w:textAlignment w:val="auto"/>
        <w:rPr>
          <w:sz w:val="24"/>
        </w:rPr>
      </w:pPr>
      <w:r>
        <w:rPr>
          <w:rFonts w:ascii="宋体" w:hAnsi="宋体" w:eastAsia="宋体" w:cs="宋体"/>
          <w:b/>
          <w:i w:val="0"/>
          <w:spacing w:val="0"/>
          <w:sz w:val="24"/>
        </w:rPr>
        <w:t>消费者教育需求特点</w:t>
      </w:r>
      <w:r>
        <w:rPr>
          <w:rFonts w:ascii="宋体" w:hAnsi="宋体" w:eastAsia="宋体" w:cs="宋体"/>
          <w:b w:val="0"/>
          <w:i w:val="0"/>
          <w:spacing w:val="0"/>
          <w:sz w:val="24"/>
        </w:rPr>
        <w:t>：</w:t>
      </w:r>
    </w:p>
    <w:p w14:paraId="0533DFD1">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知识缺口</w:t>
      </w:r>
      <w:r>
        <w:rPr>
          <w:rFonts w:ascii="宋体" w:hAnsi="宋体" w:eastAsia="宋体" w:cs="宋体"/>
          <w:b w:val="0"/>
          <w:i w:val="0"/>
          <w:spacing w:val="0"/>
          <w:sz w:val="24"/>
        </w:rPr>
        <w:t>：90%的爱好者对水族造景生态原理缺乏系统理解</w:t>
      </w:r>
    </w:p>
    <w:p w14:paraId="3A61D68E">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技能需求</w:t>
      </w:r>
      <w:r>
        <w:rPr>
          <w:rFonts w:ascii="宋体" w:hAnsi="宋体" w:eastAsia="宋体" w:cs="宋体"/>
          <w:b w:val="0"/>
          <w:i w:val="0"/>
          <w:spacing w:val="0"/>
          <w:sz w:val="24"/>
        </w:rPr>
        <w:t>：从基础操作（如开缸、养水）到高级管理（如CO₂调控、水草繁殖）的全链条技能需求</w:t>
      </w:r>
    </w:p>
    <w:p w14:paraId="56CA1368">
      <w:pPr>
        <w:pageBreakBefore w:val="0"/>
        <w:numPr>
          <w:ilvl w:val="0"/>
          <w:numId w:val="61"/>
        </w:numPr>
        <w:wordWrap/>
        <w:spacing w:before="160" w:after="0"/>
        <w:ind w:left="440" w:right="0" w:hanging="440"/>
        <w:jc w:val="left"/>
        <w:textAlignment w:val="auto"/>
        <w:rPr>
          <w:sz w:val="24"/>
        </w:rPr>
      </w:pPr>
      <w:r>
        <w:rPr>
          <w:rFonts w:ascii="宋体" w:hAnsi="宋体" w:eastAsia="宋体" w:cs="宋体"/>
          <w:b/>
          <w:i w:val="0"/>
          <w:spacing w:val="0"/>
          <w:sz w:val="24"/>
        </w:rPr>
        <w:t>教育形式</w:t>
      </w:r>
      <w:r>
        <w:rPr>
          <w:rFonts w:ascii="宋体" w:hAnsi="宋体" w:eastAsia="宋体" w:cs="宋体"/>
          <w:b w:val="0"/>
          <w:i w:val="0"/>
          <w:spacing w:val="0"/>
          <w:sz w:val="24"/>
        </w:rPr>
        <w:t>：线上课程（如华中农业大学的"水族景观规划与设计"慕课）和线下实践相结合</w:t>
      </w:r>
    </w:p>
    <w:p w14:paraId="1C6CB956">
      <w:pPr>
        <w:pageBreakBefore w:val="0"/>
        <w:wordWrap/>
        <w:spacing w:before="160" w:after="0"/>
        <w:ind w:left="0" w:right="0"/>
        <w:jc w:val="left"/>
        <w:textAlignment w:val="auto"/>
        <w:rPr>
          <w:sz w:val="24"/>
        </w:rPr>
      </w:pPr>
      <w:r>
        <w:rPr>
          <w:rFonts w:ascii="宋体" w:hAnsi="宋体" w:eastAsia="宋体" w:cs="宋体"/>
          <w:b/>
          <w:i w:val="0"/>
          <w:spacing w:val="0"/>
          <w:sz w:val="24"/>
        </w:rPr>
        <w:t>教育市场需求</w:t>
      </w:r>
      <w:r>
        <w:rPr>
          <w:rFonts w:ascii="宋体" w:hAnsi="宋体" w:eastAsia="宋体" w:cs="宋体"/>
          <w:b w:val="0"/>
          <w:i w:val="0"/>
          <w:spacing w:val="0"/>
          <w:sz w:val="24"/>
        </w:rPr>
        <w:t>：</w:t>
      </w:r>
    </w:p>
    <w:p w14:paraId="0863BC25">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线上教育</w:t>
      </w:r>
      <w:r>
        <w:rPr>
          <w:rFonts w:ascii="宋体" w:hAnsi="宋体" w:eastAsia="宋体" w:cs="宋体"/>
          <w:b w:val="0"/>
          <w:i w:val="0"/>
          <w:spacing w:val="0"/>
          <w:sz w:val="24"/>
        </w:rPr>
        <w:t>：水族造景课程年增长率达30%，2026年市场规模预计达15亿元</w:t>
      </w:r>
    </w:p>
    <w:p w14:paraId="4DAC7F4A">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线下培训</w:t>
      </w:r>
      <w:r>
        <w:rPr>
          <w:rFonts w:ascii="宋体" w:hAnsi="宋体" w:eastAsia="宋体" w:cs="宋体"/>
          <w:b w:val="0"/>
          <w:i w:val="0"/>
          <w:spacing w:val="0"/>
          <w:sz w:val="24"/>
        </w:rPr>
        <w:t>：水族造景师认证培训需求增长，2026年认证人数预计达10万人</w:t>
      </w:r>
    </w:p>
    <w:p w14:paraId="5C341F51">
      <w:pPr>
        <w:pageBreakBefore w:val="0"/>
        <w:numPr>
          <w:ilvl w:val="0"/>
          <w:numId w:val="62"/>
        </w:numPr>
        <w:wordWrap/>
        <w:spacing w:before="160" w:after="0"/>
        <w:ind w:left="440" w:right="0" w:hanging="440"/>
        <w:jc w:val="left"/>
        <w:textAlignment w:val="auto"/>
        <w:rPr>
          <w:sz w:val="24"/>
        </w:rPr>
      </w:pPr>
      <w:r>
        <w:rPr>
          <w:rFonts w:ascii="宋体" w:hAnsi="宋体" w:eastAsia="宋体" w:cs="宋体"/>
          <w:b/>
          <w:i w:val="0"/>
          <w:spacing w:val="0"/>
          <w:sz w:val="24"/>
        </w:rPr>
        <w:t>实践平台</w:t>
      </w:r>
      <w:r>
        <w:rPr>
          <w:rFonts w:ascii="宋体" w:hAnsi="宋体" w:eastAsia="宋体" w:cs="宋体"/>
          <w:b w:val="0"/>
          <w:i w:val="0"/>
          <w:spacing w:val="0"/>
          <w:sz w:val="24"/>
        </w:rPr>
        <w:t>：水族造景实践基地、体验中心等线下教育场景兴起</w:t>
      </w:r>
    </w:p>
    <w:p w14:paraId="0ACEF2E0">
      <w:pPr>
        <w:pageBreakBefore w:val="0"/>
        <w:wordWrap/>
        <w:spacing w:before="160" w:after="0"/>
        <w:ind w:left="0" w:right="0"/>
        <w:jc w:val="left"/>
        <w:textAlignment w:val="auto"/>
        <w:rPr>
          <w:sz w:val="24"/>
        </w:rPr>
      </w:pPr>
      <w:r>
        <w:rPr>
          <w:rFonts w:ascii="宋体" w:hAnsi="宋体" w:eastAsia="宋体" w:cs="宋体"/>
          <w:b/>
          <w:i w:val="0"/>
          <w:spacing w:val="0"/>
          <w:sz w:val="24"/>
        </w:rPr>
        <w:t>案例分析</w:t>
      </w:r>
      <w:r>
        <w:rPr>
          <w:rFonts w:ascii="宋体" w:hAnsi="宋体" w:eastAsia="宋体" w:cs="宋体"/>
          <w:b w:val="0"/>
          <w:i w:val="0"/>
          <w:spacing w:val="0"/>
          <w:sz w:val="24"/>
        </w:rPr>
        <w:t>：水云间工作室推出的"年度维护套餐"复购率达70%，表明**"专业维护服务已成为消费者的重要需求"**。这种服务模式不仅解决了消费者的维护难题，也提高了消费者的造景体验和满意度。同时，尼特利等品牌通过提供专业培训和指导，降低了消费者的学习曲线，促进了市场健康发展。</w:t>
      </w:r>
    </w:p>
    <w:p w14:paraId="337E5014">
      <w:pPr>
        <w:pageBreakBefore w:val="0"/>
        <w:wordWrap/>
        <w:spacing w:before="160" w:after="0"/>
        <w:ind w:left="0" w:right="0"/>
        <w:jc w:val="left"/>
        <w:textAlignment w:val="auto"/>
        <w:rPr>
          <w:rFonts w:ascii="宋体" w:hAnsi="宋体" w:eastAsia="宋体" w:cs="宋体"/>
          <w:b/>
          <w:i w:val="0"/>
          <w:spacing w:val="0"/>
          <w:sz w:val="24"/>
        </w:rPr>
      </w:pPr>
    </w:p>
    <w:p w14:paraId="21B91566">
      <w:pPr>
        <w:pageBreakBefore w:val="0"/>
        <w:wordWrap/>
        <w:spacing w:before="160" w:after="0"/>
        <w:ind w:left="0" w:right="0"/>
        <w:jc w:val="left"/>
        <w:textAlignment w:val="auto"/>
        <w:rPr>
          <w:sz w:val="24"/>
        </w:rPr>
      </w:pPr>
      <w:r>
        <w:rPr>
          <w:rFonts w:ascii="宋体" w:hAnsi="宋体" w:eastAsia="宋体" w:cs="宋体"/>
          <w:b/>
          <w:i w:val="0"/>
          <w:spacing w:val="0"/>
          <w:sz w:val="24"/>
        </w:rPr>
        <w:t>7.3.3 全球化竞争与合作</w:t>
      </w:r>
    </w:p>
    <w:p w14:paraId="2BB5B595">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水族造景行业正经历全球化竞争与合作并存的新阶段，国际品牌与本土企业同台竞技，合作与竞争并存。</w:t>
      </w:r>
    </w:p>
    <w:p w14:paraId="7FE0CC4F">
      <w:pPr>
        <w:pageBreakBefore w:val="0"/>
        <w:wordWrap/>
        <w:spacing w:before="160" w:after="0"/>
        <w:ind w:left="0" w:right="0"/>
        <w:jc w:val="left"/>
        <w:textAlignment w:val="auto"/>
        <w:rPr>
          <w:sz w:val="24"/>
        </w:rPr>
      </w:pPr>
      <w:r>
        <w:rPr>
          <w:rFonts w:ascii="宋体" w:hAnsi="宋体" w:eastAsia="宋体" w:cs="宋体"/>
          <w:b/>
          <w:i w:val="0"/>
          <w:spacing w:val="0"/>
          <w:sz w:val="24"/>
        </w:rPr>
        <w:t>全球化竞争格局</w:t>
      </w:r>
      <w:r>
        <w:rPr>
          <w:rFonts w:ascii="宋体" w:hAnsi="宋体" w:eastAsia="宋体" w:cs="宋体"/>
          <w:b w:val="0"/>
          <w:i w:val="0"/>
          <w:spacing w:val="0"/>
          <w:sz w:val="24"/>
        </w:rPr>
        <w:t>：</w:t>
      </w:r>
    </w:p>
    <w:p w14:paraId="78C29C5F">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国际品牌</w:t>
      </w:r>
      <w:r>
        <w:rPr>
          <w:rFonts w:ascii="宋体" w:hAnsi="宋体" w:eastAsia="宋体" w:cs="宋体"/>
          <w:b w:val="0"/>
          <w:i w:val="0"/>
          <w:spacing w:val="0"/>
          <w:sz w:val="24"/>
        </w:rPr>
        <w:t>：日本ADA、德国"水草缸之艺术"等品牌仍占据高端市场主导地位</w:t>
      </w:r>
    </w:p>
    <w:p w14:paraId="73548DC4">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本土品牌</w:t>
      </w:r>
      <w:r>
        <w:rPr>
          <w:rFonts w:ascii="宋体" w:hAnsi="宋体" w:eastAsia="宋体" w:cs="宋体"/>
          <w:b w:val="0"/>
          <w:i w:val="0"/>
          <w:spacing w:val="0"/>
          <w:sz w:val="24"/>
        </w:rPr>
        <w:t>：北京诚信鱼悦、蓝海生态科技等本土品牌快速崛起，市场份额不断提升</w:t>
      </w:r>
    </w:p>
    <w:p w14:paraId="70ADBDBA">
      <w:pPr>
        <w:pageBreakBefore w:val="0"/>
        <w:numPr>
          <w:ilvl w:val="0"/>
          <w:numId w:val="63"/>
        </w:numPr>
        <w:wordWrap/>
        <w:spacing w:before="160" w:after="0"/>
        <w:ind w:left="440" w:right="0" w:hanging="440"/>
        <w:jc w:val="left"/>
        <w:textAlignment w:val="auto"/>
        <w:rPr>
          <w:sz w:val="24"/>
        </w:rPr>
      </w:pPr>
      <w:r>
        <w:rPr>
          <w:rFonts w:ascii="宋体" w:hAnsi="宋体" w:eastAsia="宋体" w:cs="宋体"/>
          <w:b/>
          <w:i w:val="0"/>
          <w:spacing w:val="0"/>
          <w:sz w:val="24"/>
        </w:rPr>
        <w:t>竞争焦点</w:t>
      </w:r>
      <w:r>
        <w:rPr>
          <w:rFonts w:ascii="宋体" w:hAnsi="宋体" w:eastAsia="宋体" w:cs="宋体"/>
          <w:b w:val="0"/>
          <w:i w:val="0"/>
          <w:spacing w:val="0"/>
          <w:sz w:val="24"/>
        </w:rPr>
        <w:t>：技术创新、设计能力、服务质量和成本控制</w:t>
      </w:r>
    </w:p>
    <w:p w14:paraId="1ECD45F5">
      <w:pPr>
        <w:pageBreakBefore w:val="0"/>
        <w:wordWrap/>
        <w:spacing w:before="160" w:after="0"/>
        <w:ind w:left="0" w:right="0"/>
        <w:jc w:val="left"/>
        <w:textAlignment w:val="auto"/>
        <w:rPr>
          <w:sz w:val="24"/>
        </w:rPr>
      </w:pPr>
      <w:r>
        <w:rPr>
          <w:rFonts w:ascii="宋体" w:hAnsi="宋体" w:eastAsia="宋体" w:cs="宋体"/>
          <w:b/>
          <w:i w:val="0"/>
          <w:spacing w:val="0"/>
          <w:sz w:val="24"/>
        </w:rPr>
        <w:t>全球化合作趋势</w:t>
      </w:r>
      <w:r>
        <w:rPr>
          <w:rFonts w:ascii="宋体" w:hAnsi="宋体" w:eastAsia="宋体" w:cs="宋体"/>
          <w:b w:val="0"/>
          <w:i w:val="0"/>
          <w:spacing w:val="0"/>
          <w:sz w:val="24"/>
        </w:rPr>
        <w:t>：</w:t>
      </w:r>
    </w:p>
    <w:p w14:paraId="0663E4B2">
      <w:pPr>
        <w:pageBreakBefore w:val="0"/>
        <w:numPr>
          <w:ilvl w:val="0"/>
          <w:numId w:val="72"/>
        </w:numPr>
        <w:wordWrap/>
        <w:spacing w:before="160" w:after="0"/>
        <w:ind w:left="440" w:right="0" w:hanging="440"/>
        <w:jc w:val="left"/>
        <w:textAlignment w:val="auto"/>
        <w:rPr>
          <w:sz w:val="24"/>
        </w:rPr>
      </w:pPr>
      <w:r>
        <w:rPr>
          <w:rFonts w:ascii="宋体" w:hAnsi="宋体" w:eastAsia="宋体" w:cs="宋体"/>
          <w:b/>
          <w:i w:val="0"/>
          <w:spacing w:val="0"/>
          <w:sz w:val="24"/>
        </w:rPr>
        <w:t>技术合作</w:t>
      </w:r>
      <w:r>
        <w:rPr>
          <w:rFonts w:ascii="宋体" w:hAnsi="宋体" w:eastAsia="宋体" w:cs="宋体"/>
          <w:b w:val="0"/>
          <w:i w:val="0"/>
          <w:spacing w:val="0"/>
          <w:sz w:val="24"/>
        </w:rPr>
        <w:t>：本土企业与国际品牌在技术、材料和设计等方面展开合作</w:t>
      </w:r>
    </w:p>
    <w:p w14:paraId="7E4C8AF2">
      <w:pPr>
        <w:pageBreakBefore w:val="0"/>
        <w:numPr>
          <w:ilvl w:val="0"/>
          <w:numId w:val="72"/>
        </w:numPr>
        <w:wordWrap/>
        <w:spacing w:before="160" w:after="0"/>
        <w:ind w:left="440" w:right="0" w:hanging="440"/>
        <w:jc w:val="left"/>
        <w:textAlignment w:val="auto"/>
        <w:rPr>
          <w:sz w:val="24"/>
        </w:rPr>
      </w:pPr>
      <w:r>
        <w:rPr>
          <w:rFonts w:ascii="宋体" w:hAnsi="宋体" w:eastAsia="宋体" w:cs="宋体"/>
          <w:b/>
          <w:i w:val="0"/>
          <w:spacing w:val="0"/>
          <w:sz w:val="24"/>
        </w:rPr>
        <w:t>人才培养</w:t>
      </w:r>
      <w:r>
        <w:rPr>
          <w:rFonts w:ascii="宋体" w:hAnsi="宋体" w:eastAsia="宋体" w:cs="宋体"/>
          <w:b w:val="0"/>
          <w:i w:val="0"/>
          <w:spacing w:val="0"/>
          <w:sz w:val="24"/>
        </w:rPr>
        <w:t>：国际造景师与本土设计师合作，推动本土人才培养</w:t>
      </w:r>
    </w:p>
    <w:p w14:paraId="157CD581">
      <w:pPr>
        <w:pageBreakBefore w:val="0"/>
        <w:numPr>
          <w:ilvl w:val="0"/>
          <w:numId w:val="72"/>
        </w:numPr>
        <w:wordWrap/>
        <w:spacing w:before="160" w:after="0"/>
        <w:ind w:left="440" w:right="0" w:hanging="440"/>
        <w:jc w:val="left"/>
        <w:textAlignment w:val="auto"/>
        <w:rPr>
          <w:sz w:val="24"/>
        </w:rPr>
      </w:pPr>
      <w:r>
        <w:rPr>
          <w:rFonts w:ascii="宋体" w:hAnsi="宋体" w:eastAsia="宋体" w:cs="宋体"/>
          <w:b/>
          <w:i w:val="0"/>
          <w:spacing w:val="0"/>
          <w:sz w:val="24"/>
        </w:rPr>
        <w:t>市场拓展</w:t>
      </w:r>
      <w:r>
        <w:rPr>
          <w:rFonts w:ascii="宋体" w:hAnsi="宋体" w:eastAsia="宋体" w:cs="宋体"/>
          <w:b w:val="0"/>
          <w:i w:val="0"/>
          <w:spacing w:val="0"/>
          <w:sz w:val="24"/>
        </w:rPr>
        <w:t>：本土企业通过国际化合作拓展海外市场，如深圳某企业通过与欧洲品牌合作，产品出口欧洲</w:t>
      </w:r>
    </w:p>
    <w:p w14:paraId="358B86BC">
      <w:pPr>
        <w:pageBreakBefore w:val="0"/>
        <w:wordWrap/>
        <w:spacing w:before="160" w:after="0"/>
        <w:ind w:left="0" w:right="0"/>
        <w:jc w:val="left"/>
        <w:textAlignment w:val="auto"/>
        <w:rPr>
          <w:sz w:val="24"/>
        </w:rPr>
      </w:pPr>
      <w:r>
        <w:rPr>
          <w:rFonts w:hint="eastAsia" w:ascii="宋体" w:hAnsi="宋体" w:eastAsia="宋体" w:cs="宋体"/>
          <w:b/>
          <w:i w:val="0"/>
          <w:spacing w:val="0"/>
          <w:sz w:val="24"/>
          <w:lang w:val="en-US" w:eastAsia="zh-CN"/>
        </w:rPr>
        <w:t>*</w:t>
      </w:r>
      <w:r>
        <w:rPr>
          <w:rFonts w:ascii="宋体" w:hAnsi="宋体" w:eastAsia="宋体" w:cs="宋体"/>
          <w:b/>
          <w:i w:val="0"/>
          <w:spacing w:val="0"/>
          <w:sz w:val="24"/>
        </w:rPr>
        <w:t>案例分析</w:t>
      </w:r>
      <w:r>
        <w:rPr>
          <w:rFonts w:ascii="宋体" w:hAnsi="宋体" w:eastAsia="宋体" w:cs="宋体"/>
          <w:b w:val="0"/>
          <w:i w:val="0"/>
          <w:spacing w:val="0"/>
          <w:sz w:val="24"/>
        </w:rPr>
        <w:t>：广州德洋水族科技有限公司与深圳深蓝海洋科技有限公司合作，开发出</w:t>
      </w:r>
      <w:r>
        <w:rPr>
          <w:rFonts w:ascii="宋体" w:hAnsi="宋体" w:eastAsia="宋体" w:cs="宋体"/>
          <w:b/>
          <w:i w:val="0"/>
          <w:spacing w:val="0"/>
          <w:sz w:val="24"/>
        </w:rPr>
        <w:t>智能维生控制系统</w:t>
      </w:r>
      <w:r>
        <w:rPr>
          <w:rFonts w:ascii="宋体" w:hAnsi="宋体" w:eastAsia="宋体" w:cs="宋体"/>
          <w:b w:val="0"/>
          <w:i w:val="0"/>
          <w:spacing w:val="0"/>
          <w:sz w:val="24"/>
        </w:rPr>
        <w:t>，可实现水质参数（如pH、ORP、盐度、温度）的实时监测、自动调节与远程报警，大幅降低人工巡检强度，提升系统稳定性。这种合作模式表明**"全球化合作是本土企业提升竞争力的重要途径"**。</w:t>
      </w:r>
    </w:p>
    <w:p w14:paraId="346CED73">
      <w:pPr>
        <w:pageBreakBefore w:val="0"/>
        <w:wordWrap/>
        <w:spacing w:before="160" w:after="0"/>
        <w:ind w:left="0" w:right="0"/>
        <w:jc w:val="left"/>
        <w:textAlignment w:val="auto"/>
        <w:rPr>
          <w:rFonts w:ascii="宋体" w:hAnsi="宋体" w:eastAsia="宋体" w:cs="宋体"/>
          <w:b/>
          <w:i w:val="0"/>
          <w:spacing w:val="0"/>
          <w:sz w:val="36"/>
        </w:rPr>
      </w:pPr>
    </w:p>
    <w:p w14:paraId="0E8A8A99">
      <w:pPr>
        <w:pageBreakBefore w:val="0"/>
        <w:wordWrap/>
        <w:spacing w:before="160" w:after="0"/>
        <w:ind w:left="0" w:right="0"/>
        <w:jc w:val="left"/>
        <w:textAlignment w:val="auto"/>
        <w:rPr>
          <w:sz w:val="36"/>
        </w:rPr>
      </w:pPr>
      <w:r>
        <w:rPr>
          <w:rFonts w:ascii="宋体" w:hAnsi="宋体" w:eastAsia="宋体" w:cs="宋体"/>
          <w:b/>
          <w:i w:val="0"/>
          <w:spacing w:val="0"/>
          <w:sz w:val="36"/>
        </w:rPr>
        <w:t>8 行业现状与未来趋势</w:t>
      </w:r>
    </w:p>
    <w:p w14:paraId="2DA0DD69">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水族造景行业正处于</w:t>
      </w:r>
      <w:r>
        <w:rPr>
          <w:rFonts w:ascii="宋体" w:hAnsi="宋体" w:eastAsia="宋体" w:cs="宋体"/>
          <w:b/>
          <w:i w:val="0"/>
          <w:spacing w:val="0"/>
          <w:sz w:val="24"/>
        </w:rPr>
        <w:t>快速发展与转型</w:t>
      </w:r>
      <w:r>
        <w:rPr>
          <w:rFonts w:ascii="宋体" w:hAnsi="宋体" w:eastAsia="宋体" w:cs="宋体"/>
          <w:b w:val="0"/>
          <w:i w:val="0"/>
          <w:spacing w:val="0"/>
          <w:sz w:val="24"/>
        </w:rPr>
        <w:t>的关键阶段，市场规模持续扩大，技术创新不断涌现，消费者需求日益多元化，同时也面临环保法规、市场竞争等多重挑战。本章将总结行业核心观点，提出针对爱好者、从业者和政策制定者的实践建议，并展望未来研究方向。</w:t>
      </w:r>
    </w:p>
    <w:p w14:paraId="4F9DDEE5">
      <w:pPr>
        <w:pageBreakBefore w:val="0"/>
        <w:wordWrap/>
        <w:spacing w:before="160" w:after="0"/>
        <w:ind w:left="0" w:right="0"/>
        <w:jc w:val="left"/>
        <w:textAlignment w:val="auto"/>
        <w:rPr>
          <w:sz w:val="28"/>
        </w:rPr>
      </w:pPr>
      <w:r>
        <w:rPr>
          <w:rFonts w:ascii="宋体" w:hAnsi="宋体" w:eastAsia="宋体" w:cs="宋体"/>
          <w:b/>
          <w:i w:val="0"/>
          <w:spacing w:val="0"/>
          <w:sz w:val="28"/>
        </w:rPr>
        <w:t>8.1 核心观点总结</w:t>
      </w:r>
    </w:p>
    <w:p w14:paraId="5C837095">
      <w:pPr>
        <w:pageBreakBefore w:val="0"/>
        <w:wordWrap/>
        <w:spacing w:before="160" w:after="0"/>
        <w:ind w:left="0" w:right="0"/>
        <w:jc w:val="left"/>
        <w:textAlignment w:val="auto"/>
        <w:rPr>
          <w:sz w:val="24"/>
        </w:rPr>
      </w:pPr>
      <w:r>
        <w:rPr>
          <w:rFonts w:ascii="宋体" w:hAnsi="宋体" w:eastAsia="宋体" w:cs="宋体"/>
          <w:b/>
          <w:i w:val="0"/>
          <w:spacing w:val="0"/>
          <w:sz w:val="24"/>
        </w:rPr>
        <w:t>水族造景的关键成功因素</w:t>
      </w:r>
      <w:r>
        <w:rPr>
          <w:rFonts w:ascii="宋体" w:hAnsi="宋体" w:eastAsia="宋体" w:cs="宋体"/>
          <w:b w:val="0"/>
          <w:i w:val="0"/>
          <w:spacing w:val="0"/>
          <w:sz w:val="24"/>
        </w:rPr>
        <w:t>：</w:t>
      </w:r>
    </w:p>
    <w:p w14:paraId="14AFDD10">
      <w:pPr>
        <w:pageBreakBefore w:val="0"/>
        <w:numPr>
          <w:ilvl w:val="0"/>
          <w:numId w:val="73"/>
        </w:numPr>
        <w:wordWrap/>
        <w:spacing w:before="160" w:after="0"/>
        <w:ind w:left="440" w:right="0" w:hanging="440"/>
        <w:jc w:val="left"/>
        <w:textAlignment w:val="auto"/>
        <w:rPr>
          <w:sz w:val="24"/>
        </w:rPr>
      </w:pPr>
      <w:r>
        <w:rPr>
          <w:rFonts w:ascii="宋体" w:hAnsi="宋体" w:eastAsia="宋体" w:cs="宋体"/>
          <w:b/>
          <w:i w:val="0"/>
          <w:spacing w:val="0"/>
          <w:sz w:val="24"/>
        </w:rPr>
        <w:t>系统稳定性优先</w:t>
      </w:r>
      <w:r>
        <w:rPr>
          <w:rFonts w:ascii="宋体" w:hAnsi="宋体" w:eastAsia="宋体" w:cs="宋体"/>
          <w:b w:val="0"/>
          <w:i w:val="0"/>
          <w:spacing w:val="0"/>
          <w:sz w:val="24"/>
        </w:rPr>
        <w:t>：所有维护操作都应以保持系统稳定性为首要目标，生态稳定是美学表达的基础。</w:t>
      </w:r>
    </w:p>
    <w:p w14:paraId="501C33DF">
      <w:pPr>
        <w:pageBreakBefore w:val="0"/>
        <w:numPr>
          <w:ilvl w:val="0"/>
          <w:numId w:val="73"/>
        </w:numPr>
        <w:wordWrap/>
        <w:spacing w:before="160" w:after="0"/>
        <w:ind w:left="440" w:right="0" w:hanging="440"/>
        <w:jc w:val="left"/>
        <w:textAlignment w:val="auto"/>
        <w:rPr>
          <w:sz w:val="24"/>
        </w:rPr>
      </w:pPr>
      <w:r>
        <w:rPr>
          <w:rFonts w:ascii="宋体" w:hAnsi="宋体" w:eastAsia="宋体" w:cs="宋体"/>
          <w:b/>
          <w:i w:val="0"/>
          <w:spacing w:val="0"/>
          <w:sz w:val="24"/>
        </w:rPr>
        <w:t>参数精细化控制</w:t>
      </w:r>
      <w:r>
        <w:rPr>
          <w:rFonts w:ascii="宋体" w:hAnsi="宋体" w:eastAsia="宋体" w:cs="宋体"/>
          <w:b w:val="0"/>
          <w:i w:val="0"/>
          <w:spacing w:val="0"/>
          <w:sz w:val="24"/>
        </w:rPr>
        <w:t>：对关键水质参数（pH、GH、KH、氨氮、亚硝酸盐、硝酸盐等）进行精细化控制，建立日常监测与记录习惯。</w:t>
      </w:r>
    </w:p>
    <w:p w14:paraId="57DFE892">
      <w:pPr>
        <w:pageBreakBefore w:val="0"/>
        <w:numPr>
          <w:ilvl w:val="0"/>
          <w:numId w:val="73"/>
        </w:numPr>
        <w:wordWrap/>
        <w:spacing w:before="160" w:after="0"/>
        <w:ind w:left="440" w:right="0" w:hanging="440"/>
        <w:jc w:val="left"/>
        <w:textAlignment w:val="auto"/>
        <w:rPr>
          <w:sz w:val="24"/>
        </w:rPr>
      </w:pPr>
      <w:r>
        <w:rPr>
          <w:rFonts w:ascii="宋体" w:hAnsi="宋体" w:eastAsia="宋体" w:cs="宋体"/>
          <w:b/>
          <w:i w:val="0"/>
          <w:spacing w:val="0"/>
          <w:sz w:val="24"/>
        </w:rPr>
        <w:t>维护频率科学化</w:t>
      </w:r>
      <w:r>
        <w:rPr>
          <w:rFonts w:ascii="宋体" w:hAnsi="宋体" w:eastAsia="宋体" w:cs="宋体"/>
          <w:b w:val="0"/>
          <w:i w:val="0"/>
          <w:spacing w:val="0"/>
          <w:sz w:val="24"/>
        </w:rPr>
        <w:t>：根据造景风格、缸体规模和生物负载，制定科学的维护频率，避免过度维护或维护不足。</w:t>
      </w:r>
    </w:p>
    <w:p w14:paraId="2EB07AA7">
      <w:pPr>
        <w:pageBreakBefore w:val="0"/>
        <w:numPr>
          <w:ilvl w:val="0"/>
          <w:numId w:val="73"/>
        </w:numPr>
        <w:wordWrap/>
        <w:spacing w:before="160" w:after="0"/>
        <w:ind w:left="440" w:right="0" w:hanging="440"/>
        <w:jc w:val="left"/>
        <w:textAlignment w:val="auto"/>
        <w:rPr>
          <w:sz w:val="24"/>
        </w:rPr>
      </w:pPr>
      <w:r>
        <w:rPr>
          <w:rFonts w:ascii="宋体" w:hAnsi="宋体" w:eastAsia="宋体" w:cs="宋体"/>
          <w:b/>
          <w:i w:val="0"/>
          <w:spacing w:val="0"/>
          <w:sz w:val="24"/>
        </w:rPr>
        <w:t>生物适配性</w:t>
      </w:r>
      <w:r>
        <w:rPr>
          <w:rFonts w:ascii="宋体" w:hAnsi="宋体" w:eastAsia="宋体" w:cs="宋体"/>
          <w:b w:val="0"/>
          <w:i w:val="0"/>
          <w:spacing w:val="0"/>
          <w:sz w:val="24"/>
        </w:rPr>
        <w:t>：严格遵循生物适配原则，选择与造景风格和环境参数匹配的生物，控制生物密度在生物负载量的70%以下。</w:t>
      </w:r>
    </w:p>
    <w:p w14:paraId="4C89B79E">
      <w:pPr>
        <w:pageBreakBefore w:val="0"/>
        <w:numPr>
          <w:ilvl w:val="0"/>
          <w:numId w:val="73"/>
        </w:numPr>
        <w:wordWrap/>
        <w:spacing w:before="160" w:after="0"/>
        <w:ind w:left="440" w:right="0" w:hanging="440"/>
        <w:jc w:val="left"/>
        <w:textAlignment w:val="auto"/>
        <w:rPr>
          <w:sz w:val="24"/>
        </w:rPr>
      </w:pPr>
      <w:r>
        <w:rPr>
          <w:rFonts w:ascii="宋体" w:hAnsi="宋体" w:eastAsia="宋体" w:cs="宋体"/>
          <w:b/>
          <w:i w:val="0"/>
          <w:spacing w:val="0"/>
          <w:sz w:val="24"/>
        </w:rPr>
        <w:t>技术创新驱动</w:t>
      </w:r>
      <w:r>
        <w:rPr>
          <w:rFonts w:ascii="宋体" w:hAnsi="宋体" w:eastAsia="宋体" w:cs="宋体"/>
          <w:b w:val="0"/>
          <w:i w:val="0"/>
          <w:spacing w:val="0"/>
          <w:sz w:val="24"/>
        </w:rPr>
        <w:t>：智能控制系统、新型生态材料等技术创新正推动行业向专业化、智能化和生态可持续方向发展。</w:t>
      </w:r>
    </w:p>
    <w:p w14:paraId="712D5133">
      <w:pPr>
        <w:pageBreakBefore w:val="0"/>
        <w:wordWrap/>
        <w:spacing w:before="160" w:after="0"/>
        <w:ind w:left="0" w:right="0"/>
        <w:jc w:val="left"/>
        <w:textAlignment w:val="auto"/>
        <w:rPr>
          <w:sz w:val="24"/>
        </w:rPr>
      </w:pPr>
      <w:r>
        <w:rPr>
          <w:rFonts w:ascii="宋体" w:hAnsi="宋体" w:eastAsia="宋体" w:cs="宋体"/>
          <w:b/>
          <w:i w:val="0"/>
          <w:spacing w:val="0"/>
          <w:sz w:val="24"/>
        </w:rPr>
        <w:t>对行业发展的核心观点</w:t>
      </w:r>
      <w:r>
        <w:rPr>
          <w:rFonts w:ascii="宋体" w:hAnsi="宋体" w:eastAsia="宋体" w:cs="宋体"/>
          <w:b w:val="0"/>
          <w:i w:val="0"/>
          <w:spacing w:val="0"/>
          <w:sz w:val="24"/>
        </w:rPr>
        <w:t>：</w:t>
      </w:r>
    </w:p>
    <w:p w14:paraId="458BBFC3">
      <w:pPr>
        <w:pageBreakBefore w:val="0"/>
        <w:numPr>
          <w:ilvl w:val="0"/>
          <w:numId w:val="74"/>
        </w:numPr>
        <w:wordWrap/>
        <w:spacing w:before="160" w:after="0"/>
        <w:ind w:left="440" w:right="0" w:hanging="440"/>
        <w:jc w:val="left"/>
        <w:textAlignment w:val="auto"/>
        <w:rPr>
          <w:sz w:val="24"/>
        </w:rPr>
      </w:pPr>
      <w:r>
        <w:rPr>
          <w:rFonts w:ascii="宋体" w:hAnsi="宋体" w:eastAsia="宋体" w:cs="宋体"/>
          <w:b/>
          <w:i w:val="0"/>
          <w:spacing w:val="0"/>
          <w:sz w:val="24"/>
        </w:rPr>
        <w:t>行业增长潜力巨大</w:t>
      </w:r>
      <w:r>
        <w:rPr>
          <w:rFonts w:ascii="宋体" w:hAnsi="宋体" w:eastAsia="宋体" w:cs="宋体"/>
          <w:b w:val="0"/>
          <w:i w:val="0"/>
          <w:spacing w:val="0"/>
          <w:sz w:val="24"/>
        </w:rPr>
        <w:t>：2026年市场规模预计达400亿元，年增长率12%，其中智能设备、生态材料和专业服务增速最快。</w:t>
      </w:r>
    </w:p>
    <w:p w14:paraId="44B3B42E">
      <w:pPr>
        <w:pageBreakBefore w:val="0"/>
        <w:numPr>
          <w:ilvl w:val="0"/>
          <w:numId w:val="74"/>
        </w:numPr>
        <w:wordWrap/>
        <w:spacing w:before="160" w:after="0"/>
        <w:ind w:left="440" w:right="0" w:hanging="440"/>
        <w:jc w:val="left"/>
        <w:textAlignment w:val="auto"/>
        <w:rPr>
          <w:sz w:val="24"/>
        </w:rPr>
      </w:pPr>
      <w:r>
        <w:rPr>
          <w:rFonts w:ascii="宋体" w:hAnsi="宋体" w:eastAsia="宋体" w:cs="宋体"/>
          <w:b/>
          <w:i w:val="0"/>
          <w:spacing w:val="0"/>
          <w:sz w:val="24"/>
        </w:rPr>
        <w:t>区域发展不平衡</w:t>
      </w:r>
      <w:r>
        <w:rPr>
          <w:rFonts w:ascii="宋体" w:hAnsi="宋体" w:eastAsia="宋体" w:cs="宋体"/>
          <w:b w:val="0"/>
          <w:i w:val="0"/>
          <w:spacing w:val="0"/>
          <w:sz w:val="24"/>
        </w:rPr>
        <w:t>：华东地区占商业造景项目58%，华南占22%，西南占12%，华北占8%，区域发展差异明显，但西南地区增速最快。</w:t>
      </w:r>
    </w:p>
    <w:p w14:paraId="3B92735D">
      <w:pPr>
        <w:pageBreakBefore w:val="0"/>
        <w:numPr>
          <w:ilvl w:val="0"/>
          <w:numId w:val="74"/>
        </w:numPr>
        <w:wordWrap/>
        <w:spacing w:before="160" w:after="0"/>
        <w:ind w:left="440" w:right="0" w:hanging="440"/>
        <w:jc w:val="left"/>
        <w:textAlignment w:val="auto"/>
        <w:rPr>
          <w:sz w:val="24"/>
        </w:rPr>
      </w:pPr>
      <w:r>
        <w:rPr>
          <w:rFonts w:ascii="宋体" w:hAnsi="宋体" w:eastAsia="宋体" w:cs="宋体"/>
          <w:b/>
          <w:i w:val="0"/>
          <w:spacing w:val="0"/>
          <w:sz w:val="24"/>
        </w:rPr>
        <w:t>环保法规趋严</w:t>
      </w:r>
      <w:r>
        <w:rPr>
          <w:rFonts w:ascii="宋体" w:hAnsi="宋体" w:eastAsia="宋体" w:cs="宋体"/>
          <w:b w:val="0"/>
          <w:i w:val="0"/>
          <w:spacing w:val="0"/>
          <w:sz w:val="24"/>
        </w:rPr>
        <w:t>：新修订《渔业法》对水族造景提出更严格要求，推动行业向绿色、智能和生态可持续方向发展。</w:t>
      </w:r>
    </w:p>
    <w:p w14:paraId="37CEFC54">
      <w:pPr>
        <w:pageBreakBefore w:val="0"/>
        <w:numPr>
          <w:ilvl w:val="0"/>
          <w:numId w:val="74"/>
        </w:numPr>
        <w:wordWrap/>
        <w:spacing w:before="160" w:after="0"/>
        <w:ind w:left="440" w:right="0" w:hanging="440"/>
        <w:jc w:val="left"/>
        <w:textAlignment w:val="auto"/>
        <w:rPr>
          <w:sz w:val="24"/>
        </w:rPr>
      </w:pPr>
      <w:r>
        <w:rPr>
          <w:rFonts w:ascii="宋体" w:hAnsi="宋体" w:eastAsia="宋体" w:cs="宋体"/>
          <w:b/>
          <w:i w:val="0"/>
          <w:spacing w:val="0"/>
          <w:sz w:val="24"/>
        </w:rPr>
        <w:t>教育价值凸显</w:t>
      </w:r>
      <w:r>
        <w:rPr>
          <w:rFonts w:ascii="宋体" w:hAnsi="宋体" w:eastAsia="宋体" w:cs="宋体"/>
          <w:b w:val="0"/>
          <w:i w:val="0"/>
          <w:spacing w:val="0"/>
          <w:sz w:val="24"/>
        </w:rPr>
        <w:t>：水族造景在教育领域的价值日益受到重视，高校课程和实践基地建设加速，2025年已有30多所高校开设相关课程。</w:t>
      </w:r>
    </w:p>
    <w:p w14:paraId="21585258">
      <w:pPr>
        <w:pageBreakBefore w:val="0"/>
        <w:numPr>
          <w:ilvl w:val="0"/>
          <w:numId w:val="74"/>
        </w:numPr>
        <w:wordWrap/>
        <w:spacing w:before="160" w:after="0"/>
        <w:ind w:left="440" w:right="0" w:hanging="440"/>
        <w:jc w:val="left"/>
        <w:textAlignment w:val="auto"/>
        <w:rPr>
          <w:sz w:val="24"/>
        </w:rPr>
      </w:pPr>
      <w:r>
        <w:rPr>
          <w:rFonts w:ascii="宋体" w:hAnsi="宋体" w:eastAsia="宋体" w:cs="宋体"/>
          <w:b/>
          <w:i w:val="0"/>
          <w:spacing w:val="0"/>
          <w:sz w:val="24"/>
        </w:rPr>
        <w:t>跨界融合趋势明显</w:t>
      </w:r>
      <w:r>
        <w:rPr>
          <w:rFonts w:ascii="宋体" w:hAnsi="宋体" w:eastAsia="宋体" w:cs="宋体"/>
          <w:b w:val="0"/>
          <w:i w:val="0"/>
          <w:spacing w:val="0"/>
          <w:sz w:val="24"/>
        </w:rPr>
        <w:t>：水族造景与艺术、科技和教育的跨界融合成为行业发展的重要方向，拓展了应用场景和价值。</w:t>
      </w:r>
    </w:p>
    <w:p w14:paraId="6704A7AA">
      <w:pPr>
        <w:pageBreakBefore w:val="0"/>
        <w:wordWrap/>
        <w:spacing w:before="160" w:after="0"/>
        <w:ind w:left="0" w:right="0"/>
        <w:jc w:val="left"/>
        <w:textAlignment w:val="auto"/>
        <w:rPr>
          <w:sz w:val="28"/>
        </w:rPr>
      </w:pPr>
      <w:r>
        <w:rPr>
          <w:rFonts w:ascii="宋体" w:hAnsi="宋体" w:eastAsia="宋体" w:cs="宋体"/>
          <w:b/>
          <w:i w:val="0"/>
          <w:spacing w:val="0"/>
          <w:sz w:val="28"/>
        </w:rPr>
        <w:t>8.2 实践建议</w:t>
      </w:r>
    </w:p>
    <w:p w14:paraId="79C67B3C">
      <w:pPr>
        <w:pageBreakBefore w:val="0"/>
        <w:wordWrap/>
        <w:spacing w:before="160" w:after="0"/>
        <w:ind w:left="0" w:right="0"/>
        <w:jc w:val="left"/>
        <w:textAlignment w:val="auto"/>
        <w:rPr>
          <w:sz w:val="24"/>
        </w:rPr>
      </w:pPr>
      <w:r>
        <w:rPr>
          <w:rFonts w:ascii="宋体" w:hAnsi="宋体" w:eastAsia="宋体" w:cs="宋体"/>
          <w:b/>
          <w:i w:val="0"/>
          <w:spacing w:val="0"/>
          <w:sz w:val="24"/>
        </w:rPr>
        <w:t>针对爱好者的入门与进阶指南</w:t>
      </w:r>
      <w:r>
        <w:rPr>
          <w:rFonts w:ascii="宋体" w:hAnsi="宋体" w:eastAsia="宋体" w:cs="宋体"/>
          <w:b w:val="0"/>
          <w:i w:val="0"/>
          <w:spacing w:val="0"/>
          <w:sz w:val="24"/>
        </w:rPr>
        <w:t>：</w:t>
      </w:r>
    </w:p>
    <w:p w14:paraId="15F6C0F1">
      <w:pPr>
        <w:pageBreakBefore w:val="0"/>
        <w:numPr>
          <w:ilvl w:val="0"/>
          <w:numId w:val="75"/>
        </w:numPr>
        <w:wordWrap/>
        <w:spacing w:before="160" w:after="0"/>
        <w:ind w:left="440" w:right="0" w:hanging="440"/>
        <w:jc w:val="left"/>
        <w:textAlignment w:val="auto"/>
        <w:rPr>
          <w:sz w:val="24"/>
        </w:rPr>
      </w:pPr>
      <w:r>
        <w:rPr>
          <w:rFonts w:ascii="宋体" w:hAnsi="宋体" w:eastAsia="宋体" w:cs="宋体"/>
          <w:b/>
          <w:i w:val="0"/>
          <w:spacing w:val="0"/>
          <w:sz w:val="24"/>
        </w:rPr>
        <w:t>入门阶段</w:t>
      </w:r>
      <w:r>
        <w:rPr>
          <w:rFonts w:ascii="宋体" w:hAnsi="宋体" w:eastAsia="宋体" w:cs="宋体"/>
          <w:b w:val="0"/>
          <w:i w:val="0"/>
          <w:spacing w:val="0"/>
          <w:sz w:val="24"/>
        </w:rPr>
        <w:t>：</w:t>
      </w:r>
    </w:p>
    <w:p w14:paraId="2733A623">
      <w:pPr>
        <w:pageBreakBefore w:val="0"/>
        <w:numPr>
          <w:ilvl w:val="1"/>
          <w:numId w:val="76"/>
        </w:numPr>
        <w:wordWrap/>
        <w:spacing w:before="160" w:after="0"/>
        <w:ind w:left="880" w:right="0" w:hanging="440"/>
        <w:jc w:val="left"/>
        <w:textAlignment w:val="auto"/>
        <w:rPr>
          <w:sz w:val="24"/>
        </w:rPr>
      </w:pPr>
      <w:r>
        <w:rPr>
          <w:rFonts w:ascii="宋体" w:hAnsi="宋体" w:eastAsia="宋体" w:cs="宋体"/>
          <w:b/>
          <w:i w:val="0"/>
          <w:spacing w:val="0"/>
          <w:sz w:val="24"/>
        </w:rPr>
        <w:t>设备选择</w:t>
      </w:r>
      <w:r>
        <w:rPr>
          <w:rFonts w:ascii="宋体" w:hAnsi="宋体" w:eastAsia="宋体" w:cs="宋体"/>
          <w:b w:val="0"/>
          <w:i w:val="0"/>
          <w:spacing w:val="0"/>
          <w:sz w:val="24"/>
        </w:rPr>
        <w:t>：从基础设备起步，如标准长方体超白玻璃缸（40-60cm）、流化床过滤系统（流量为缸体水容量5-8倍/小时）、全光谱LED水草灯（6W/L）</w:t>
      </w:r>
    </w:p>
    <w:p w14:paraId="6F74C2BC">
      <w:pPr>
        <w:pageBreakBefore w:val="0"/>
        <w:numPr>
          <w:ilvl w:val="1"/>
          <w:numId w:val="76"/>
        </w:numPr>
        <w:wordWrap/>
        <w:spacing w:before="160" w:after="0"/>
        <w:ind w:left="880" w:right="0" w:hanging="440"/>
        <w:jc w:val="left"/>
        <w:textAlignment w:val="auto"/>
        <w:rPr>
          <w:sz w:val="24"/>
        </w:rPr>
      </w:pPr>
      <w:r>
        <w:rPr>
          <w:rFonts w:ascii="宋体" w:hAnsi="宋体" w:eastAsia="宋体" w:cs="宋体"/>
          <w:b/>
          <w:i w:val="0"/>
          <w:spacing w:val="0"/>
          <w:sz w:val="24"/>
        </w:rPr>
        <w:t>风格选择</w:t>
      </w:r>
      <w:r>
        <w:rPr>
          <w:rFonts w:ascii="宋体" w:hAnsi="宋体" w:eastAsia="宋体" w:cs="宋体"/>
          <w:b w:val="0"/>
          <w:i w:val="0"/>
          <w:spacing w:val="0"/>
          <w:sz w:val="24"/>
        </w:rPr>
        <w:t>：推荐从自然风格或阴性水草为主开始，降低维护难度</w:t>
      </w:r>
    </w:p>
    <w:p w14:paraId="44CCB122">
      <w:pPr>
        <w:pageBreakBefore w:val="0"/>
        <w:numPr>
          <w:ilvl w:val="1"/>
          <w:numId w:val="76"/>
        </w:numPr>
        <w:wordWrap/>
        <w:spacing w:before="160" w:after="0"/>
        <w:ind w:left="880" w:right="0" w:hanging="440"/>
        <w:jc w:val="left"/>
        <w:textAlignment w:val="auto"/>
        <w:rPr>
          <w:sz w:val="24"/>
        </w:rPr>
      </w:pPr>
      <w:r>
        <w:rPr>
          <w:rFonts w:ascii="宋体" w:hAnsi="宋体" w:eastAsia="宋体" w:cs="宋体"/>
          <w:b/>
          <w:i w:val="0"/>
          <w:spacing w:val="0"/>
          <w:sz w:val="24"/>
        </w:rPr>
        <w:t>生物选择</w:t>
      </w:r>
      <w:r>
        <w:rPr>
          <w:rFonts w:ascii="宋体" w:hAnsi="宋体" w:eastAsia="宋体" w:cs="宋体"/>
          <w:b w:val="0"/>
          <w:i w:val="0"/>
          <w:spacing w:val="0"/>
          <w:sz w:val="24"/>
        </w:rPr>
        <w:t>：选择适应性强的生物，如绿莲灯、黑壳虾等，生物密度控制在生物负载量的50%以下</w:t>
      </w:r>
    </w:p>
    <w:p w14:paraId="32962A81">
      <w:pPr>
        <w:pageBreakBefore w:val="0"/>
        <w:numPr>
          <w:ilvl w:val="1"/>
          <w:numId w:val="76"/>
        </w:numPr>
        <w:wordWrap/>
        <w:spacing w:before="160" w:after="0"/>
        <w:ind w:left="880" w:right="0" w:hanging="440"/>
        <w:jc w:val="left"/>
        <w:textAlignment w:val="auto"/>
        <w:rPr>
          <w:sz w:val="24"/>
        </w:rPr>
      </w:pPr>
      <w:r>
        <w:rPr>
          <w:rFonts w:ascii="宋体" w:hAnsi="宋体" w:eastAsia="宋体" w:cs="宋体"/>
          <w:b/>
          <w:i w:val="0"/>
          <w:spacing w:val="0"/>
          <w:sz w:val="24"/>
        </w:rPr>
        <w:t>维护学习</w:t>
      </w:r>
      <w:r>
        <w:rPr>
          <w:rFonts w:ascii="宋体" w:hAnsi="宋体" w:eastAsia="宋体" w:cs="宋体"/>
          <w:b w:val="0"/>
          <w:i w:val="0"/>
          <w:spacing w:val="0"/>
          <w:sz w:val="24"/>
        </w:rPr>
        <w:t>：参加入门级培训，掌握基础维护技能，如换水、修剪和简单故障处理</w:t>
      </w:r>
    </w:p>
    <w:p w14:paraId="27A0FD2D">
      <w:pPr>
        <w:pageBreakBefore w:val="0"/>
        <w:numPr>
          <w:ilvl w:val="0"/>
          <w:numId w:val="75"/>
        </w:numPr>
        <w:wordWrap/>
        <w:spacing w:before="160" w:after="0"/>
        <w:ind w:left="440" w:right="0" w:hanging="440"/>
        <w:jc w:val="left"/>
        <w:textAlignment w:val="auto"/>
        <w:rPr>
          <w:sz w:val="24"/>
        </w:rPr>
      </w:pPr>
      <w:r>
        <w:rPr>
          <w:rFonts w:ascii="宋体" w:hAnsi="宋体" w:eastAsia="宋体" w:cs="宋体"/>
          <w:b/>
          <w:i w:val="0"/>
          <w:spacing w:val="0"/>
          <w:sz w:val="24"/>
        </w:rPr>
        <w:t>进阶阶段</w:t>
      </w:r>
      <w:r>
        <w:rPr>
          <w:rFonts w:ascii="宋体" w:hAnsi="宋体" w:eastAsia="宋体" w:cs="宋体"/>
          <w:b w:val="0"/>
          <w:i w:val="0"/>
          <w:spacing w:val="0"/>
          <w:sz w:val="24"/>
        </w:rPr>
        <w:t>：</w:t>
      </w:r>
    </w:p>
    <w:p w14:paraId="68992F95">
      <w:pPr>
        <w:pageBreakBefore w:val="0"/>
        <w:numPr>
          <w:ilvl w:val="1"/>
          <w:numId w:val="77"/>
        </w:numPr>
        <w:wordWrap/>
        <w:spacing w:before="160" w:after="0"/>
        <w:ind w:left="880" w:right="0" w:hanging="440"/>
        <w:jc w:val="left"/>
        <w:textAlignment w:val="auto"/>
        <w:rPr>
          <w:sz w:val="24"/>
        </w:rPr>
      </w:pPr>
      <w:r>
        <w:rPr>
          <w:rFonts w:ascii="宋体" w:hAnsi="宋体" w:eastAsia="宋体" w:cs="宋体"/>
          <w:b/>
          <w:i w:val="0"/>
          <w:spacing w:val="0"/>
          <w:sz w:val="24"/>
        </w:rPr>
        <w:t>设备升级</w:t>
      </w:r>
      <w:r>
        <w:rPr>
          <w:rFonts w:ascii="宋体" w:hAnsi="宋体" w:eastAsia="宋体" w:cs="宋体"/>
          <w:b w:val="0"/>
          <w:i w:val="0"/>
          <w:spacing w:val="0"/>
          <w:sz w:val="24"/>
        </w:rPr>
        <w:t>：考虑智能控制系统，如水质监测仪、自动喂食器等，降低维护难度</w:t>
      </w:r>
    </w:p>
    <w:p w14:paraId="7871CC7D">
      <w:pPr>
        <w:pageBreakBefore w:val="0"/>
        <w:numPr>
          <w:ilvl w:val="1"/>
          <w:numId w:val="77"/>
        </w:numPr>
        <w:wordWrap/>
        <w:spacing w:before="160" w:after="0"/>
        <w:ind w:left="880" w:right="0" w:hanging="440"/>
        <w:jc w:val="left"/>
        <w:textAlignment w:val="auto"/>
        <w:rPr>
          <w:sz w:val="24"/>
        </w:rPr>
      </w:pPr>
      <w:r>
        <w:rPr>
          <w:rFonts w:ascii="宋体" w:hAnsi="宋体" w:eastAsia="宋体" w:cs="宋体"/>
          <w:b/>
          <w:i w:val="0"/>
          <w:spacing w:val="0"/>
          <w:sz w:val="24"/>
        </w:rPr>
        <w:t>风格深化</w:t>
      </w:r>
      <w:r>
        <w:rPr>
          <w:rFonts w:ascii="宋体" w:hAnsi="宋体" w:eastAsia="宋体" w:cs="宋体"/>
          <w:b w:val="0"/>
          <w:i w:val="0"/>
          <w:spacing w:val="0"/>
          <w:sz w:val="24"/>
        </w:rPr>
        <w:t>：尝试荷兰式或ADA风格造景，学习高密度种植和精细调控</w:t>
      </w:r>
    </w:p>
    <w:p w14:paraId="17BC8096">
      <w:pPr>
        <w:pageBreakBefore w:val="0"/>
        <w:numPr>
          <w:ilvl w:val="1"/>
          <w:numId w:val="77"/>
        </w:numPr>
        <w:wordWrap/>
        <w:spacing w:before="160" w:after="0"/>
        <w:ind w:left="880" w:right="0" w:hanging="440"/>
        <w:jc w:val="left"/>
        <w:textAlignment w:val="auto"/>
        <w:rPr>
          <w:sz w:val="24"/>
        </w:rPr>
      </w:pPr>
      <w:r>
        <w:rPr>
          <w:rFonts w:ascii="宋体" w:hAnsi="宋体" w:eastAsia="宋体" w:cs="宋体"/>
          <w:b/>
          <w:i w:val="0"/>
          <w:spacing w:val="0"/>
          <w:sz w:val="24"/>
        </w:rPr>
        <w:t>生物优化</w:t>
      </w:r>
      <w:r>
        <w:rPr>
          <w:rFonts w:ascii="宋体" w:hAnsi="宋体" w:eastAsia="宋体" w:cs="宋体"/>
          <w:b w:val="0"/>
          <w:i w:val="0"/>
          <w:spacing w:val="0"/>
          <w:sz w:val="24"/>
        </w:rPr>
        <w:t>：引入更专业的生物，如特定品种的慈鲷或虾虎鱼，提高观赏价值</w:t>
      </w:r>
    </w:p>
    <w:p w14:paraId="59D150FE">
      <w:pPr>
        <w:pageBreakBefore w:val="0"/>
        <w:numPr>
          <w:ilvl w:val="1"/>
          <w:numId w:val="77"/>
        </w:numPr>
        <w:wordWrap/>
        <w:spacing w:before="160" w:after="0"/>
        <w:ind w:left="880" w:right="0" w:hanging="440"/>
        <w:jc w:val="left"/>
        <w:textAlignment w:val="auto"/>
        <w:rPr>
          <w:sz w:val="24"/>
        </w:rPr>
      </w:pPr>
      <w:r>
        <w:rPr>
          <w:rFonts w:ascii="宋体" w:hAnsi="宋体" w:eastAsia="宋体" w:cs="宋体"/>
          <w:b/>
          <w:i w:val="0"/>
          <w:spacing w:val="0"/>
          <w:sz w:val="24"/>
        </w:rPr>
        <w:t>技能提升</w:t>
      </w:r>
      <w:r>
        <w:rPr>
          <w:rFonts w:ascii="宋体" w:hAnsi="宋体" w:eastAsia="宋体" w:cs="宋体"/>
          <w:b w:val="0"/>
          <w:i w:val="0"/>
          <w:spacing w:val="0"/>
          <w:sz w:val="24"/>
        </w:rPr>
        <w:t>：参加中级水族造景师认证培训，提升专业技能和知识</w:t>
      </w:r>
    </w:p>
    <w:p w14:paraId="6AB6D5A4">
      <w:pPr>
        <w:pageBreakBefore w:val="0"/>
        <w:numPr>
          <w:ilvl w:val="0"/>
          <w:numId w:val="75"/>
        </w:numPr>
        <w:wordWrap/>
        <w:spacing w:before="160" w:after="0"/>
        <w:ind w:left="440" w:right="0" w:hanging="440"/>
        <w:jc w:val="left"/>
        <w:textAlignment w:val="auto"/>
        <w:rPr>
          <w:sz w:val="24"/>
        </w:rPr>
      </w:pPr>
      <w:r>
        <w:rPr>
          <w:rFonts w:ascii="宋体" w:hAnsi="宋体" w:eastAsia="宋体" w:cs="宋体"/>
          <w:b/>
          <w:i w:val="0"/>
          <w:spacing w:val="0"/>
          <w:sz w:val="24"/>
        </w:rPr>
        <w:t>商业造景探索</w:t>
      </w:r>
      <w:r>
        <w:rPr>
          <w:rFonts w:ascii="宋体" w:hAnsi="宋体" w:eastAsia="宋体" w:cs="宋体"/>
          <w:b w:val="0"/>
          <w:i w:val="0"/>
          <w:spacing w:val="0"/>
          <w:sz w:val="24"/>
        </w:rPr>
        <w:t>：</w:t>
      </w:r>
    </w:p>
    <w:p w14:paraId="3E5E5236">
      <w:pPr>
        <w:pageBreakBefore w:val="0"/>
        <w:numPr>
          <w:ilvl w:val="1"/>
          <w:numId w:val="78"/>
        </w:numPr>
        <w:wordWrap/>
        <w:spacing w:before="160" w:after="0"/>
        <w:ind w:left="880" w:right="0" w:hanging="440"/>
        <w:jc w:val="left"/>
        <w:textAlignment w:val="auto"/>
        <w:rPr>
          <w:sz w:val="24"/>
        </w:rPr>
      </w:pPr>
      <w:r>
        <w:rPr>
          <w:rFonts w:ascii="宋体" w:hAnsi="宋体" w:eastAsia="宋体" w:cs="宋体"/>
          <w:b/>
          <w:i w:val="0"/>
          <w:spacing w:val="0"/>
          <w:sz w:val="24"/>
        </w:rPr>
        <w:t>项目选择</w:t>
      </w:r>
      <w:r>
        <w:rPr>
          <w:rFonts w:ascii="宋体" w:hAnsi="宋体" w:eastAsia="宋体" w:cs="宋体"/>
          <w:b w:val="0"/>
          <w:i w:val="0"/>
          <w:spacing w:val="0"/>
          <w:sz w:val="24"/>
        </w:rPr>
        <w:t>：从中小型商业项目起步，如办公室水族缸或小型展示缸</w:t>
      </w:r>
    </w:p>
    <w:p w14:paraId="56A2EDD9">
      <w:pPr>
        <w:pageBreakBefore w:val="0"/>
        <w:numPr>
          <w:ilvl w:val="1"/>
          <w:numId w:val="78"/>
        </w:numPr>
        <w:wordWrap/>
        <w:spacing w:before="160" w:after="0"/>
        <w:ind w:left="880" w:right="0" w:hanging="440"/>
        <w:jc w:val="left"/>
        <w:textAlignment w:val="auto"/>
        <w:rPr>
          <w:sz w:val="24"/>
        </w:rPr>
      </w:pPr>
      <w:r>
        <w:rPr>
          <w:rFonts w:ascii="宋体" w:hAnsi="宋体" w:eastAsia="宋体" w:cs="宋体"/>
          <w:b/>
          <w:i w:val="0"/>
          <w:spacing w:val="0"/>
          <w:sz w:val="24"/>
        </w:rPr>
        <w:t>技术储备</w:t>
      </w:r>
      <w:r>
        <w:rPr>
          <w:rFonts w:ascii="宋体" w:hAnsi="宋体" w:eastAsia="宋体" w:cs="宋体"/>
          <w:b w:val="0"/>
          <w:i w:val="0"/>
          <w:spacing w:val="0"/>
          <w:sz w:val="24"/>
        </w:rPr>
        <w:t>：掌握大型系统设计和维护技能，如多水泵水流系统、大流量过滤系统等</w:t>
      </w:r>
    </w:p>
    <w:p w14:paraId="1F515A14">
      <w:pPr>
        <w:pageBreakBefore w:val="0"/>
        <w:numPr>
          <w:ilvl w:val="1"/>
          <w:numId w:val="78"/>
        </w:numPr>
        <w:wordWrap/>
        <w:spacing w:before="160" w:after="0"/>
        <w:ind w:left="880" w:right="0" w:hanging="440"/>
        <w:jc w:val="left"/>
        <w:textAlignment w:val="auto"/>
        <w:rPr>
          <w:sz w:val="24"/>
        </w:rPr>
      </w:pPr>
      <w:r>
        <w:rPr>
          <w:rFonts w:ascii="宋体" w:hAnsi="宋体" w:eastAsia="宋体" w:cs="宋体"/>
          <w:b/>
          <w:i w:val="0"/>
          <w:spacing w:val="0"/>
          <w:sz w:val="24"/>
        </w:rPr>
        <w:t>认证获取</w:t>
      </w:r>
      <w:r>
        <w:rPr>
          <w:rFonts w:ascii="宋体" w:hAnsi="宋体" w:eastAsia="宋体" w:cs="宋体"/>
          <w:b w:val="0"/>
          <w:i w:val="0"/>
          <w:spacing w:val="0"/>
          <w:sz w:val="24"/>
        </w:rPr>
        <w:t>：获取高级或技师级水族造景师认证，提升专业形象和市场竞争力</w:t>
      </w:r>
    </w:p>
    <w:p w14:paraId="1D27A4E5">
      <w:pPr>
        <w:pageBreakBefore w:val="0"/>
        <w:numPr>
          <w:ilvl w:val="1"/>
          <w:numId w:val="78"/>
        </w:numPr>
        <w:wordWrap/>
        <w:spacing w:before="160" w:after="0"/>
        <w:ind w:left="880" w:right="0" w:hanging="440"/>
        <w:jc w:val="left"/>
        <w:textAlignment w:val="auto"/>
        <w:rPr>
          <w:sz w:val="24"/>
        </w:rPr>
      </w:pPr>
      <w:r>
        <w:rPr>
          <w:rFonts w:ascii="宋体" w:hAnsi="宋体" w:eastAsia="宋体" w:cs="宋体"/>
          <w:b/>
          <w:i w:val="0"/>
          <w:spacing w:val="0"/>
          <w:sz w:val="24"/>
        </w:rPr>
        <w:t>案例积累</w:t>
      </w:r>
      <w:r>
        <w:rPr>
          <w:rFonts w:ascii="宋体" w:hAnsi="宋体" w:eastAsia="宋体" w:cs="宋体"/>
          <w:b w:val="0"/>
          <w:i w:val="0"/>
          <w:spacing w:val="0"/>
          <w:sz w:val="24"/>
        </w:rPr>
        <w:t>：通过参与实际项目积累经验，建立个人作品集</w:t>
      </w:r>
    </w:p>
    <w:p w14:paraId="1BCA5F60">
      <w:pPr>
        <w:pageBreakBefore w:val="0"/>
        <w:wordWrap/>
        <w:spacing w:before="160" w:after="0"/>
        <w:ind w:left="0" w:right="0"/>
        <w:jc w:val="left"/>
        <w:textAlignment w:val="auto"/>
        <w:rPr>
          <w:sz w:val="24"/>
        </w:rPr>
      </w:pPr>
      <w:r>
        <w:rPr>
          <w:rFonts w:ascii="宋体" w:hAnsi="宋体" w:eastAsia="宋体" w:cs="宋体"/>
          <w:b/>
          <w:i w:val="0"/>
          <w:spacing w:val="0"/>
          <w:sz w:val="24"/>
        </w:rPr>
        <w:t>针对从业者的的技术提升建议</w:t>
      </w:r>
      <w:r>
        <w:rPr>
          <w:rFonts w:ascii="宋体" w:hAnsi="宋体" w:eastAsia="宋体" w:cs="宋体"/>
          <w:b w:val="0"/>
          <w:i w:val="0"/>
          <w:spacing w:val="0"/>
          <w:sz w:val="24"/>
        </w:rPr>
        <w:t>：</w:t>
      </w:r>
    </w:p>
    <w:p w14:paraId="60826A18">
      <w:pPr>
        <w:pageBreakBefore w:val="0"/>
        <w:numPr>
          <w:ilvl w:val="0"/>
          <w:numId w:val="79"/>
        </w:numPr>
        <w:wordWrap/>
        <w:spacing w:before="160" w:after="0"/>
        <w:ind w:left="440" w:right="0" w:hanging="440"/>
        <w:jc w:val="left"/>
        <w:textAlignment w:val="auto"/>
        <w:rPr>
          <w:sz w:val="24"/>
        </w:rPr>
      </w:pPr>
      <w:r>
        <w:rPr>
          <w:rFonts w:ascii="宋体" w:hAnsi="宋体" w:eastAsia="宋体" w:cs="宋体"/>
          <w:b/>
          <w:i w:val="0"/>
          <w:spacing w:val="0"/>
          <w:sz w:val="24"/>
        </w:rPr>
        <w:t>技术提升路径</w:t>
      </w:r>
      <w:r>
        <w:rPr>
          <w:rFonts w:ascii="宋体" w:hAnsi="宋体" w:eastAsia="宋体" w:cs="宋体"/>
          <w:b w:val="0"/>
          <w:i w:val="0"/>
          <w:spacing w:val="0"/>
          <w:sz w:val="24"/>
        </w:rPr>
        <w:t>：</w:t>
      </w:r>
    </w:p>
    <w:p w14:paraId="53A8F902">
      <w:pPr>
        <w:pageBreakBefore w:val="0"/>
        <w:numPr>
          <w:ilvl w:val="1"/>
          <w:numId w:val="80"/>
        </w:numPr>
        <w:wordWrap/>
        <w:spacing w:before="160" w:after="0"/>
        <w:ind w:left="880" w:right="0" w:hanging="440"/>
        <w:jc w:val="left"/>
        <w:textAlignment w:val="auto"/>
        <w:rPr>
          <w:sz w:val="24"/>
        </w:rPr>
      </w:pPr>
      <w:r>
        <w:rPr>
          <w:rFonts w:ascii="宋体" w:hAnsi="宋体" w:eastAsia="宋体" w:cs="宋体"/>
          <w:b/>
          <w:i w:val="0"/>
          <w:spacing w:val="0"/>
          <w:sz w:val="24"/>
        </w:rPr>
        <w:t>专业认证</w:t>
      </w:r>
      <w:r>
        <w:rPr>
          <w:rFonts w:ascii="宋体" w:hAnsi="宋体" w:eastAsia="宋体" w:cs="宋体"/>
          <w:b w:val="0"/>
          <w:i w:val="0"/>
          <w:spacing w:val="0"/>
          <w:sz w:val="24"/>
        </w:rPr>
        <w:t>：获取观赏水族工程师证（五级认证体系），从初级到高级逐步提升</w:t>
      </w:r>
    </w:p>
    <w:p w14:paraId="2612AC83">
      <w:pPr>
        <w:pageBreakBefore w:val="0"/>
        <w:numPr>
          <w:ilvl w:val="1"/>
          <w:numId w:val="80"/>
        </w:numPr>
        <w:wordWrap/>
        <w:spacing w:before="160" w:after="0"/>
        <w:ind w:left="880" w:right="0" w:hanging="440"/>
        <w:jc w:val="left"/>
        <w:textAlignment w:val="auto"/>
        <w:rPr>
          <w:sz w:val="24"/>
        </w:rPr>
      </w:pPr>
      <w:r>
        <w:rPr>
          <w:rFonts w:ascii="宋体" w:hAnsi="宋体" w:eastAsia="宋体" w:cs="宋体"/>
          <w:b/>
          <w:i w:val="0"/>
          <w:spacing w:val="0"/>
          <w:sz w:val="24"/>
        </w:rPr>
        <w:t>持续学习</w:t>
      </w:r>
      <w:r>
        <w:rPr>
          <w:rFonts w:ascii="宋体" w:hAnsi="宋体" w:eastAsia="宋体" w:cs="宋体"/>
          <w:b w:val="0"/>
          <w:i w:val="0"/>
          <w:spacing w:val="0"/>
          <w:sz w:val="24"/>
        </w:rPr>
        <w:t>：参加行业培训和认证课程，如黑龙江生物科技职业学院与尼特利合作的设备操作认证</w:t>
      </w:r>
    </w:p>
    <w:p w14:paraId="14DDACF4">
      <w:pPr>
        <w:pageBreakBefore w:val="0"/>
        <w:numPr>
          <w:ilvl w:val="1"/>
          <w:numId w:val="80"/>
        </w:numPr>
        <w:wordWrap/>
        <w:spacing w:before="160" w:after="0"/>
        <w:ind w:left="880" w:right="0" w:hanging="440"/>
        <w:jc w:val="left"/>
        <w:textAlignment w:val="auto"/>
        <w:rPr>
          <w:sz w:val="24"/>
        </w:rPr>
      </w:pPr>
      <w:r>
        <w:rPr>
          <w:rFonts w:ascii="宋体" w:hAnsi="宋体" w:eastAsia="宋体" w:cs="宋体"/>
          <w:b/>
          <w:i w:val="0"/>
          <w:spacing w:val="0"/>
          <w:sz w:val="24"/>
        </w:rPr>
        <w:t>实践积累</w:t>
      </w:r>
      <w:r>
        <w:rPr>
          <w:rFonts w:ascii="宋体" w:hAnsi="宋体" w:eastAsia="宋体" w:cs="宋体"/>
          <w:b w:val="0"/>
          <w:i w:val="0"/>
          <w:spacing w:val="0"/>
          <w:sz w:val="24"/>
        </w:rPr>
        <w:t>：通过实际项目积累经验，特别是大型商业项目的维护经验</w:t>
      </w:r>
    </w:p>
    <w:p w14:paraId="57E41B59">
      <w:pPr>
        <w:pageBreakBefore w:val="0"/>
        <w:numPr>
          <w:ilvl w:val="1"/>
          <w:numId w:val="80"/>
        </w:numPr>
        <w:wordWrap/>
        <w:spacing w:before="160" w:after="0"/>
        <w:ind w:left="880" w:right="0" w:hanging="440"/>
        <w:jc w:val="left"/>
        <w:textAlignment w:val="auto"/>
        <w:rPr>
          <w:sz w:val="24"/>
        </w:rPr>
      </w:pPr>
      <w:r>
        <w:rPr>
          <w:rFonts w:ascii="宋体" w:hAnsi="宋体" w:eastAsia="宋体" w:cs="宋体"/>
          <w:b/>
          <w:i w:val="0"/>
          <w:spacing w:val="0"/>
          <w:sz w:val="24"/>
        </w:rPr>
        <w:t>技术创新</w:t>
      </w:r>
      <w:r>
        <w:rPr>
          <w:rFonts w:ascii="宋体" w:hAnsi="宋体" w:eastAsia="宋体" w:cs="宋体"/>
          <w:b w:val="0"/>
          <w:i w:val="0"/>
          <w:spacing w:val="0"/>
          <w:sz w:val="24"/>
        </w:rPr>
        <w:t>：关注新技术应用，如AI水质模型、3D打印造景材料等</w:t>
      </w:r>
    </w:p>
    <w:p w14:paraId="6DC83C84">
      <w:pPr>
        <w:pageBreakBefore w:val="0"/>
        <w:numPr>
          <w:ilvl w:val="0"/>
          <w:numId w:val="79"/>
        </w:numPr>
        <w:wordWrap/>
        <w:spacing w:before="160" w:after="0"/>
        <w:ind w:left="440" w:right="0" w:hanging="440"/>
        <w:jc w:val="left"/>
        <w:textAlignment w:val="auto"/>
        <w:rPr>
          <w:sz w:val="24"/>
        </w:rPr>
      </w:pPr>
      <w:r>
        <w:rPr>
          <w:rFonts w:ascii="宋体" w:hAnsi="宋体" w:eastAsia="宋体" w:cs="宋体"/>
          <w:b/>
          <w:i w:val="0"/>
          <w:spacing w:val="0"/>
          <w:sz w:val="24"/>
        </w:rPr>
        <w:t>维护管理优化</w:t>
      </w:r>
      <w:r>
        <w:rPr>
          <w:rFonts w:ascii="宋体" w:hAnsi="宋体" w:eastAsia="宋体" w:cs="宋体"/>
          <w:b w:val="0"/>
          <w:i w:val="0"/>
          <w:spacing w:val="0"/>
          <w:sz w:val="24"/>
        </w:rPr>
        <w:t>：</w:t>
      </w:r>
    </w:p>
    <w:p w14:paraId="22A3F6E0">
      <w:pPr>
        <w:pageBreakBefore w:val="0"/>
        <w:numPr>
          <w:ilvl w:val="1"/>
          <w:numId w:val="81"/>
        </w:numPr>
        <w:wordWrap/>
        <w:spacing w:before="160" w:after="0"/>
        <w:ind w:left="880" w:right="0" w:hanging="440"/>
        <w:jc w:val="left"/>
        <w:textAlignment w:val="auto"/>
        <w:rPr>
          <w:sz w:val="24"/>
        </w:rPr>
      </w:pPr>
      <w:r>
        <w:rPr>
          <w:rFonts w:ascii="宋体" w:hAnsi="宋体" w:eastAsia="宋体" w:cs="宋体"/>
          <w:b/>
          <w:i w:val="0"/>
          <w:spacing w:val="0"/>
          <w:sz w:val="24"/>
        </w:rPr>
        <w:t>标准化流程</w:t>
      </w:r>
      <w:r>
        <w:rPr>
          <w:rFonts w:ascii="宋体" w:hAnsi="宋体" w:eastAsia="宋体" w:cs="宋体"/>
          <w:b w:val="0"/>
          <w:i w:val="0"/>
          <w:spacing w:val="0"/>
          <w:sz w:val="24"/>
        </w:rPr>
        <w:t>：建立科学的维护管理流程和标准，提高效率和质量</w:t>
      </w:r>
    </w:p>
    <w:p w14:paraId="0B6C34D3">
      <w:pPr>
        <w:pageBreakBefore w:val="0"/>
        <w:numPr>
          <w:ilvl w:val="1"/>
          <w:numId w:val="81"/>
        </w:numPr>
        <w:wordWrap/>
        <w:spacing w:before="160" w:after="0"/>
        <w:ind w:left="880" w:right="0" w:hanging="440"/>
        <w:jc w:val="left"/>
        <w:textAlignment w:val="auto"/>
        <w:rPr>
          <w:sz w:val="24"/>
        </w:rPr>
      </w:pPr>
      <w:r>
        <w:rPr>
          <w:rFonts w:ascii="宋体" w:hAnsi="宋体" w:eastAsia="宋体" w:cs="宋体"/>
          <w:b/>
          <w:i w:val="0"/>
          <w:spacing w:val="0"/>
          <w:sz w:val="24"/>
        </w:rPr>
        <w:t>智能工具应用</w:t>
      </w:r>
      <w:r>
        <w:rPr>
          <w:rFonts w:ascii="宋体" w:hAnsi="宋体" w:eastAsia="宋体" w:cs="宋体"/>
          <w:b w:val="0"/>
          <w:i w:val="0"/>
          <w:spacing w:val="0"/>
          <w:sz w:val="24"/>
        </w:rPr>
        <w:t>：引入智能监测和管理工具，降低人工干预需求</w:t>
      </w:r>
    </w:p>
    <w:p w14:paraId="6A153F2C">
      <w:pPr>
        <w:pageBreakBefore w:val="0"/>
        <w:numPr>
          <w:ilvl w:val="1"/>
          <w:numId w:val="81"/>
        </w:numPr>
        <w:wordWrap/>
        <w:spacing w:before="160" w:after="0"/>
        <w:ind w:left="880" w:right="0" w:hanging="440"/>
        <w:jc w:val="left"/>
        <w:textAlignment w:val="auto"/>
        <w:rPr>
          <w:sz w:val="24"/>
        </w:rPr>
      </w:pPr>
      <w:r>
        <w:rPr>
          <w:rFonts w:ascii="宋体" w:hAnsi="宋体" w:eastAsia="宋体" w:cs="宋体"/>
          <w:b/>
          <w:i w:val="0"/>
          <w:spacing w:val="0"/>
          <w:sz w:val="24"/>
        </w:rPr>
        <w:t>客户教育</w:t>
      </w:r>
      <w:r>
        <w:rPr>
          <w:rFonts w:ascii="宋体" w:hAnsi="宋体" w:eastAsia="宋体" w:cs="宋体"/>
          <w:b w:val="0"/>
          <w:i w:val="0"/>
          <w:spacing w:val="0"/>
          <w:sz w:val="24"/>
        </w:rPr>
        <w:t>：加强对客户的教育，提高其维护意识和能力</w:t>
      </w:r>
    </w:p>
    <w:p w14:paraId="6DC80E00">
      <w:pPr>
        <w:pageBreakBefore w:val="0"/>
        <w:numPr>
          <w:ilvl w:val="1"/>
          <w:numId w:val="81"/>
        </w:numPr>
        <w:wordWrap/>
        <w:spacing w:before="160" w:after="0"/>
        <w:ind w:left="880" w:right="0" w:hanging="440"/>
        <w:jc w:val="left"/>
        <w:textAlignment w:val="auto"/>
        <w:rPr>
          <w:sz w:val="24"/>
        </w:rPr>
      </w:pPr>
      <w:r>
        <w:rPr>
          <w:rFonts w:ascii="宋体" w:hAnsi="宋体" w:eastAsia="宋体" w:cs="宋体"/>
          <w:b/>
          <w:i w:val="0"/>
          <w:spacing w:val="0"/>
          <w:sz w:val="24"/>
        </w:rPr>
        <w:t>服务创新</w:t>
      </w:r>
      <w:r>
        <w:rPr>
          <w:rFonts w:ascii="宋体" w:hAnsi="宋体" w:eastAsia="宋体" w:cs="宋体"/>
          <w:b w:val="0"/>
          <w:i w:val="0"/>
          <w:spacing w:val="0"/>
          <w:sz w:val="24"/>
        </w:rPr>
        <w:t>：开发差异化服务，如"年度维护套餐"、"生态修复服务"等</w:t>
      </w:r>
    </w:p>
    <w:p w14:paraId="1D4FB376">
      <w:pPr>
        <w:pageBreakBefore w:val="0"/>
        <w:numPr>
          <w:ilvl w:val="0"/>
          <w:numId w:val="79"/>
        </w:numPr>
        <w:wordWrap/>
        <w:spacing w:before="160" w:after="0"/>
        <w:ind w:left="440" w:right="0" w:hanging="440"/>
        <w:jc w:val="left"/>
        <w:textAlignment w:val="auto"/>
        <w:rPr>
          <w:sz w:val="24"/>
        </w:rPr>
      </w:pPr>
      <w:r>
        <w:rPr>
          <w:rFonts w:ascii="宋体" w:hAnsi="宋体" w:eastAsia="宋体" w:cs="宋体"/>
          <w:b/>
          <w:i w:val="0"/>
          <w:spacing w:val="0"/>
          <w:sz w:val="24"/>
        </w:rPr>
        <w:t>市场拓展策略</w:t>
      </w:r>
      <w:r>
        <w:rPr>
          <w:rFonts w:ascii="宋体" w:hAnsi="宋体" w:eastAsia="宋体" w:cs="宋体"/>
          <w:b w:val="0"/>
          <w:i w:val="0"/>
          <w:spacing w:val="0"/>
          <w:sz w:val="24"/>
        </w:rPr>
        <w:t>：</w:t>
      </w:r>
    </w:p>
    <w:p w14:paraId="7FC29CE1">
      <w:pPr>
        <w:pageBreakBefore w:val="0"/>
        <w:numPr>
          <w:ilvl w:val="1"/>
          <w:numId w:val="82"/>
        </w:numPr>
        <w:wordWrap/>
        <w:spacing w:before="160" w:after="0"/>
        <w:ind w:left="880" w:right="0" w:hanging="440"/>
        <w:jc w:val="left"/>
        <w:textAlignment w:val="auto"/>
        <w:rPr>
          <w:sz w:val="24"/>
        </w:rPr>
      </w:pPr>
      <w:r>
        <w:rPr>
          <w:rFonts w:ascii="宋体" w:hAnsi="宋体" w:eastAsia="宋体" w:cs="宋体"/>
          <w:b/>
          <w:i w:val="0"/>
          <w:spacing w:val="0"/>
          <w:sz w:val="24"/>
        </w:rPr>
        <w:t>区域聚焦</w:t>
      </w:r>
      <w:r>
        <w:rPr>
          <w:rFonts w:ascii="宋体" w:hAnsi="宋体" w:eastAsia="宋体" w:cs="宋体"/>
          <w:b w:val="0"/>
          <w:i w:val="0"/>
          <w:spacing w:val="0"/>
          <w:sz w:val="24"/>
        </w:rPr>
        <w:t>：根据区域特点和需求，选择合适的市场区域和项目类型</w:t>
      </w:r>
    </w:p>
    <w:p w14:paraId="65FB134C">
      <w:pPr>
        <w:pageBreakBefore w:val="0"/>
        <w:numPr>
          <w:ilvl w:val="1"/>
          <w:numId w:val="82"/>
        </w:numPr>
        <w:wordWrap/>
        <w:spacing w:before="160" w:after="0"/>
        <w:ind w:left="880" w:right="0" w:hanging="440"/>
        <w:jc w:val="left"/>
        <w:textAlignment w:val="auto"/>
        <w:rPr>
          <w:sz w:val="24"/>
        </w:rPr>
      </w:pPr>
      <w:r>
        <w:rPr>
          <w:rFonts w:ascii="宋体" w:hAnsi="宋体" w:eastAsia="宋体" w:cs="宋体"/>
          <w:b/>
          <w:i w:val="0"/>
          <w:spacing w:val="0"/>
          <w:sz w:val="24"/>
        </w:rPr>
        <w:t>差异化竞争</w:t>
      </w:r>
      <w:r>
        <w:rPr>
          <w:rFonts w:ascii="宋体" w:hAnsi="宋体" w:eastAsia="宋体" w:cs="宋体"/>
          <w:b w:val="0"/>
          <w:i w:val="0"/>
          <w:spacing w:val="0"/>
          <w:sz w:val="24"/>
        </w:rPr>
        <w:t>：打造独特品牌和风格，避免同质化竞争</w:t>
      </w:r>
    </w:p>
    <w:p w14:paraId="1040F3F2">
      <w:pPr>
        <w:pageBreakBefore w:val="0"/>
        <w:numPr>
          <w:ilvl w:val="1"/>
          <w:numId w:val="82"/>
        </w:numPr>
        <w:wordWrap/>
        <w:spacing w:before="160" w:after="0"/>
        <w:ind w:left="880" w:right="0" w:hanging="440"/>
        <w:jc w:val="left"/>
        <w:textAlignment w:val="auto"/>
        <w:rPr>
          <w:sz w:val="24"/>
        </w:rPr>
      </w:pPr>
      <w:r>
        <w:rPr>
          <w:rFonts w:ascii="宋体" w:hAnsi="宋体" w:eastAsia="宋体" w:cs="宋体"/>
          <w:b/>
          <w:i w:val="0"/>
          <w:spacing w:val="0"/>
          <w:sz w:val="24"/>
        </w:rPr>
        <w:t>合作网络</w:t>
      </w:r>
      <w:r>
        <w:rPr>
          <w:rFonts w:ascii="宋体" w:hAnsi="宋体" w:eastAsia="宋体" w:cs="宋体"/>
          <w:b w:val="0"/>
          <w:i w:val="0"/>
          <w:spacing w:val="0"/>
          <w:sz w:val="24"/>
        </w:rPr>
        <w:t>：建立行业合作网络，与上下游企业协同发展</w:t>
      </w:r>
    </w:p>
    <w:p w14:paraId="1B41BEB9">
      <w:pPr>
        <w:pageBreakBefore w:val="0"/>
        <w:numPr>
          <w:ilvl w:val="1"/>
          <w:numId w:val="82"/>
        </w:numPr>
        <w:wordWrap/>
        <w:spacing w:before="160" w:after="0"/>
        <w:ind w:left="880" w:right="0" w:hanging="440"/>
        <w:jc w:val="left"/>
        <w:textAlignment w:val="auto"/>
        <w:rPr>
          <w:sz w:val="24"/>
        </w:rPr>
      </w:pPr>
      <w:r>
        <w:rPr>
          <w:rFonts w:ascii="宋体" w:hAnsi="宋体" w:eastAsia="宋体" w:cs="宋体"/>
          <w:b/>
          <w:i w:val="0"/>
          <w:spacing w:val="0"/>
          <w:sz w:val="24"/>
        </w:rPr>
        <w:t>技术壁垒</w:t>
      </w:r>
      <w:r>
        <w:rPr>
          <w:rFonts w:ascii="宋体" w:hAnsi="宋体" w:eastAsia="宋体" w:cs="宋体"/>
          <w:b w:val="0"/>
          <w:i w:val="0"/>
          <w:spacing w:val="0"/>
          <w:sz w:val="24"/>
        </w:rPr>
        <w:t>：通过技术创新建立技术壁垒，提高市场竞争力</w:t>
      </w:r>
    </w:p>
    <w:p w14:paraId="42ED4218">
      <w:pPr>
        <w:pageBreakBefore w:val="0"/>
        <w:wordWrap/>
        <w:spacing w:before="160" w:after="0"/>
        <w:ind w:left="0" w:right="0"/>
        <w:jc w:val="left"/>
        <w:textAlignment w:val="auto"/>
        <w:rPr>
          <w:sz w:val="24"/>
        </w:rPr>
      </w:pPr>
      <w:r>
        <w:rPr>
          <w:rFonts w:ascii="宋体" w:hAnsi="宋体" w:eastAsia="宋体" w:cs="宋体"/>
          <w:b/>
          <w:i w:val="0"/>
          <w:spacing w:val="0"/>
          <w:sz w:val="24"/>
        </w:rPr>
        <w:t>针对政策与教育建议</w:t>
      </w:r>
      <w:r>
        <w:rPr>
          <w:rFonts w:ascii="宋体" w:hAnsi="宋体" w:eastAsia="宋体" w:cs="宋体"/>
          <w:b w:val="0"/>
          <w:i w:val="0"/>
          <w:spacing w:val="0"/>
          <w:sz w:val="24"/>
        </w:rPr>
        <w:t>：</w:t>
      </w:r>
    </w:p>
    <w:p w14:paraId="1FCB6390">
      <w:pPr>
        <w:pageBreakBefore w:val="0"/>
        <w:numPr>
          <w:ilvl w:val="0"/>
          <w:numId w:val="83"/>
        </w:numPr>
        <w:wordWrap/>
        <w:spacing w:before="160" w:after="0"/>
        <w:ind w:left="440" w:right="0" w:hanging="440"/>
        <w:jc w:val="left"/>
        <w:textAlignment w:val="auto"/>
        <w:rPr>
          <w:sz w:val="24"/>
        </w:rPr>
      </w:pPr>
      <w:r>
        <w:rPr>
          <w:rFonts w:ascii="宋体" w:hAnsi="宋体" w:eastAsia="宋体" w:cs="宋体"/>
          <w:b/>
          <w:i w:val="0"/>
          <w:spacing w:val="0"/>
          <w:sz w:val="24"/>
        </w:rPr>
        <w:t>政策支持建议</w:t>
      </w:r>
      <w:r>
        <w:rPr>
          <w:rFonts w:ascii="宋体" w:hAnsi="宋体" w:eastAsia="宋体" w:cs="宋体"/>
          <w:b w:val="0"/>
          <w:i w:val="0"/>
          <w:spacing w:val="0"/>
          <w:sz w:val="24"/>
        </w:rPr>
        <w:t>：</w:t>
      </w:r>
    </w:p>
    <w:p w14:paraId="2244289A">
      <w:pPr>
        <w:pageBreakBefore w:val="0"/>
        <w:numPr>
          <w:ilvl w:val="1"/>
          <w:numId w:val="84"/>
        </w:numPr>
        <w:wordWrap/>
        <w:spacing w:before="160" w:after="0"/>
        <w:ind w:left="880" w:right="0" w:hanging="440"/>
        <w:jc w:val="left"/>
        <w:textAlignment w:val="auto"/>
        <w:rPr>
          <w:sz w:val="24"/>
        </w:rPr>
      </w:pPr>
      <w:r>
        <w:rPr>
          <w:rFonts w:ascii="宋体" w:hAnsi="宋体" w:eastAsia="宋体" w:cs="宋体"/>
          <w:b/>
          <w:i w:val="0"/>
          <w:spacing w:val="0"/>
          <w:sz w:val="24"/>
        </w:rPr>
        <w:t>环保补贴</w:t>
      </w:r>
      <w:r>
        <w:rPr>
          <w:rFonts w:ascii="宋体" w:hAnsi="宋体" w:eastAsia="宋体" w:cs="宋体"/>
          <w:b w:val="0"/>
          <w:i w:val="0"/>
          <w:spacing w:val="0"/>
          <w:sz w:val="24"/>
        </w:rPr>
        <w:t>：争取环保补贴支持，如循环水养殖设备可获30%-70%补贴</w:t>
      </w:r>
    </w:p>
    <w:p w14:paraId="1FCD96B9">
      <w:pPr>
        <w:pageBreakBefore w:val="0"/>
        <w:numPr>
          <w:ilvl w:val="1"/>
          <w:numId w:val="84"/>
        </w:numPr>
        <w:wordWrap/>
        <w:spacing w:before="160" w:after="0"/>
        <w:ind w:left="880" w:right="0" w:hanging="440"/>
        <w:jc w:val="left"/>
        <w:textAlignment w:val="auto"/>
        <w:rPr>
          <w:sz w:val="24"/>
        </w:rPr>
      </w:pPr>
      <w:r>
        <w:rPr>
          <w:rFonts w:ascii="宋体" w:hAnsi="宋体" w:eastAsia="宋体" w:cs="宋体"/>
          <w:b/>
          <w:i w:val="0"/>
          <w:spacing w:val="0"/>
          <w:sz w:val="24"/>
        </w:rPr>
        <w:t>区域差异化政策</w:t>
      </w:r>
      <w:r>
        <w:rPr>
          <w:rFonts w:ascii="宋体" w:hAnsi="宋体" w:eastAsia="宋体" w:cs="宋体"/>
          <w:b w:val="0"/>
          <w:i w:val="0"/>
          <w:spacing w:val="0"/>
          <w:sz w:val="24"/>
        </w:rPr>
        <w:t>：关注区域差异化政策，如西部地区（如新疆）生态项目补贴达80%</w:t>
      </w:r>
    </w:p>
    <w:p w14:paraId="05DD0778">
      <w:pPr>
        <w:pageBreakBefore w:val="0"/>
        <w:numPr>
          <w:ilvl w:val="1"/>
          <w:numId w:val="84"/>
        </w:numPr>
        <w:wordWrap/>
        <w:spacing w:before="160" w:after="0"/>
        <w:ind w:left="880" w:right="0" w:hanging="440"/>
        <w:jc w:val="left"/>
        <w:textAlignment w:val="auto"/>
        <w:rPr>
          <w:sz w:val="24"/>
        </w:rPr>
      </w:pPr>
      <w:r>
        <w:rPr>
          <w:rFonts w:ascii="宋体" w:hAnsi="宋体" w:eastAsia="宋体" w:cs="宋体"/>
          <w:b/>
          <w:i w:val="0"/>
          <w:spacing w:val="0"/>
          <w:sz w:val="24"/>
        </w:rPr>
        <w:t>标准制定参与</w:t>
      </w:r>
      <w:r>
        <w:rPr>
          <w:rFonts w:ascii="宋体" w:hAnsi="宋体" w:eastAsia="宋体" w:cs="宋体"/>
          <w:b w:val="0"/>
          <w:i w:val="0"/>
          <w:spacing w:val="0"/>
          <w:sz w:val="24"/>
        </w:rPr>
        <w:t>：积极参与行业标准制定，推动行业规范化发展</w:t>
      </w:r>
    </w:p>
    <w:p w14:paraId="405535FD">
      <w:pPr>
        <w:pageBreakBefore w:val="0"/>
        <w:numPr>
          <w:ilvl w:val="1"/>
          <w:numId w:val="84"/>
        </w:numPr>
        <w:wordWrap/>
        <w:spacing w:before="160" w:after="0"/>
        <w:ind w:left="880" w:right="0" w:hanging="440"/>
        <w:jc w:val="left"/>
        <w:textAlignment w:val="auto"/>
        <w:rPr>
          <w:sz w:val="24"/>
        </w:rPr>
      </w:pPr>
      <w:r>
        <w:rPr>
          <w:rFonts w:ascii="宋体" w:hAnsi="宋体" w:eastAsia="宋体" w:cs="宋体"/>
          <w:b/>
          <w:i w:val="0"/>
          <w:spacing w:val="0"/>
          <w:sz w:val="24"/>
        </w:rPr>
        <w:t>国际合作</w:t>
      </w:r>
      <w:r>
        <w:rPr>
          <w:rFonts w:ascii="宋体" w:hAnsi="宋体" w:eastAsia="宋体" w:cs="宋体"/>
          <w:b w:val="0"/>
          <w:i w:val="0"/>
          <w:spacing w:val="0"/>
          <w:sz w:val="24"/>
        </w:rPr>
        <w:t>：加强国际合作，引进先进技术的同时输出本土创新</w:t>
      </w:r>
    </w:p>
    <w:p w14:paraId="4A99EEC3">
      <w:pPr>
        <w:pageBreakBefore w:val="0"/>
        <w:numPr>
          <w:ilvl w:val="0"/>
          <w:numId w:val="83"/>
        </w:numPr>
        <w:wordWrap/>
        <w:spacing w:before="160" w:after="0"/>
        <w:ind w:left="440" w:right="0" w:hanging="440"/>
        <w:jc w:val="left"/>
        <w:textAlignment w:val="auto"/>
        <w:rPr>
          <w:sz w:val="24"/>
        </w:rPr>
      </w:pPr>
      <w:r>
        <w:rPr>
          <w:rFonts w:ascii="宋体" w:hAnsi="宋体" w:eastAsia="宋体" w:cs="宋体"/>
          <w:b/>
          <w:i w:val="0"/>
          <w:spacing w:val="0"/>
          <w:sz w:val="24"/>
        </w:rPr>
        <w:t>教育体系建议</w:t>
      </w:r>
      <w:r>
        <w:rPr>
          <w:rFonts w:ascii="宋体" w:hAnsi="宋体" w:eastAsia="宋体" w:cs="宋体"/>
          <w:b w:val="0"/>
          <w:i w:val="0"/>
          <w:spacing w:val="0"/>
          <w:sz w:val="24"/>
        </w:rPr>
        <w:t>：</w:t>
      </w:r>
    </w:p>
    <w:p w14:paraId="2C340C72">
      <w:pPr>
        <w:pageBreakBefore w:val="0"/>
        <w:numPr>
          <w:ilvl w:val="1"/>
          <w:numId w:val="85"/>
        </w:numPr>
        <w:wordWrap/>
        <w:spacing w:before="160" w:after="0"/>
        <w:ind w:left="880" w:right="0" w:hanging="440"/>
        <w:jc w:val="left"/>
        <w:textAlignment w:val="auto"/>
        <w:rPr>
          <w:sz w:val="24"/>
        </w:rPr>
      </w:pPr>
      <w:r>
        <w:rPr>
          <w:rFonts w:ascii="宋体" w:hAnsi="宋体" w:eastAsia="宋体" w:cs="宋体"/>
          <w:b/>
          <w:i w:val="0"/>
          <w:spacing w:val="0"/>
          <w:sz w:val="24"/>
        </w:rPr>
        <w:t>高校课程建设</w:t>
      </w:r>
      <w:r>
        <w:rPr>
          <w:rFonts w:ascii="宋体" w:hAnsi="宋体" w:eastAsia="宋体" w:cs="宋体"/>
          <w:b w:val="0"/>
          <w:i w:val="0"/>
          <w:spacing w:val="0"/>
          <w:sz w:val="24"/>
        </w:rPr>
        <w:t>：推动高校开设水族造景相关课程，培养专业人才</w:t>
      </w:r>
    </w:p>
    <w:p w14:paraId="1FEB9D6C">
      <w:pPr>
        <w:pageBreakBefore w:val="0"/>
        <w:numPr>
          <w:ilvl w:val="1"/>
          <w:numId w:val="85"/>
        </w:numPr>
        <w:wordWrap/>
        <w:spacing w:before="160" w:after="0"/>
        <w:ind w:left="880" w:right="0" w:hanging="440"/>
        <w:jc w:val="left"/>
        <w:textAlignment w:val="auto"/>
        <w:rPr>
          <w:sz w:val="24"/>
        </w:rPr>
      </w:pPr>
      <w:r>
        <w:rPr>
          <w:rFonts w:ascii="宋体" w:hAnsi="宋体" w:eastAsia="宋体" w:cs="宋体"/>
          <w:b/>
          <w:i w:val="0"/>
          <w:spacing w:val="0"/>
          <w:sz w:val="24"/>
        </w:rPr>
        <w:t>实践基地建设</w:t>
      </w:r>
      <w:r>
        <w:rPr>
          <w:rFonts w:ascii="宋体" w:hAnsi="宋体" w:eastAsia="宋体" w:cs="宋体"/>
          <w:b w:val="0"/>
          <w:i w:val="0"/>
          <w:spacing w:val="0"/>
          <w:sz w:val="24"/>
        </w:rPr>
        <w:t>：建立水族造景实践基地，提供实践教学和培训</w:t>
      </w:r>
    </w:p>
    <w:p w14:paraId="6B15764F">
      <w:pPr>
        <w:pageBreakBefore w:val="0"/>
        <w:numPr>
          <w:ilvl w:val="1"/>
          <w:numId w:val="85"/>
        </w:numPr>
        <w:wordWrap/>
        <w:spacing w:before="160" w:after="0"/>
        <w:ind w:left="880" w:right="0" w:hanging="440"/>
        <w:jc w:val="left"/>
        <w:textAlignment w:val="auto"/>
        <w:rPr>
          <w:sz w:val="24"/>
        </w:rPr>
      </w:pPr>
      <w:r>
        <w:rPr>
          <w:rFonts w:ascii="宋体" w:hAnsi="宋体" w:eastAsia="宋体" w:cs="宋体"/>
          <w:b/>
          <w:i w:val="0"/>
          <w:spacing w:val="0"/>
          <w:sz w:val="24"/>
        </w:rPr>
        <w:t>认证体系完善</w:t>
      </w:r>
      <w:r>
        <w:rPr>
          <w:rFonts w:ascii="宋体" w:hAnsi="宋体" w:eastAsia="宋体" w:cs="宋体"/>
          <w:b w:val="0"/>
          <w:i w:val="0"/>
          <w:spacing w:val="0"/>
          <w:sz w:val="24"/>
        </w:rPr>
        <w:t>：完善水族造景师认证体系，提高行业专业水平</w:t>
      </w:r>
    </w:p>
    <w:p w14:paraId="12EFF20F">
      <w:pPr>
        <w:pageBreakBefore w:val="0"/>
        <w:numPr>
          <w:ilvl w:val="1"/>
          <w:numId w:val="85"/>
        </w:numPr>
        <w:wordWrap/>
        <w:spacing w:before="160" w:after="0"/>
        <w:ind w:left="880" w:right="0" w:hanging="440"/>
        <w:jc w:val="left"/>
        <w:textAlignment w:val="auto"/>
        <w:rPr>
          <w:sz w:val="24"/>
        </w:rPr>
      </w:pPr>
      <w:r>
        <w:rPr>
          <w:rFonts w:ascii="宋体" w:hAnsi="宋体" w:eastAsia="宋体" w:cs="宋体"/>
          <w:b/>
          <w:i w:val="0"/>
          <w:spacing w:val="0"/>
          <w:sz w:val="24"/>
        </w:rPr>
        <w:t>公众教育普及</w:t>
      </w:r>
      <w:r>
        <w:rPr>
          <w:rFonts w:ascii="宋体" w:hAnsi="宋体" w:eastAsia="宋体" w:cs="宋体"/>
          <w:b w:val="0"/>
          <w:i w:val="0"/>
          <w:spacing w:val="0"/>
          <w:sz w:val="24"/>
        </w:rPr>
        <w:t>：普及水族造景基础知识，提高公众认知和接受度</w:t>
      </w:r>
    </w:p>
    <w:p w14:paraId="2C565591">
      <w:pPr>
        <w:pageBreakBefore w:val="0"/>
        <w:numPr>
          <w:ilvl w:val="0"/>
          <w:numId w:val="83"/>
        </w:numPr>
        <w:wordWrap/>
        <w:spacing w:before="160" w:after="0"/>
        <w:ind w:left="440" w:right="0" w:hanging="440"/>
        <w:jc w:val="left"/>
        <w:textAlignment w:val="auto"/>
        <w:rPr>
          <w:sz w:val="24"/>
        </w:rPr>
      </w:pPr>
      <w:r>
        <w:rPr>
          <w:rFonts w:ascii="宋体" w:hAnsi="宋体" w:eastAsia="宋体" w:cs="宋体"/>
          <w:b/>
          <w:i w:val="0"/>
          <w:spacing w:val="0"/>
          <w:sz w:val="24"/>
        </w:rPr>
        <w:t>可持续发展建议</w:t>
      </w:r>
      <w:r>
        <w:rPr>
          <w:rFonts w:ascii="宋体" w:hAnsi="宋体" w:eastAsia="宋体" w:cs="宋体"/>
          <w:b w:val="0"/>
          <w:i w:val="0"/>
          <w:spacing w:val="0"/>
          <w:sz w:val="24"/>
        </w:rPr>
        <w:t>：</w:t>
      </w:r>
    </w:p>
    <w:p w14:paraId="1DF0D861">
      <w:pPr>
        <w:pageBreakBefore w:val="0"/>
        <w:numPr>
          <w:ilvl w:val="1"/>
          <w:numId w:val="86"/>
        </w:numPr>
        <w:wordWrap/>
        <w:spacing w:before="160" w:after="0"/>
        <w:ind w:left="880" w:right="0" w:hanging="440"/>
        <w:jc w:val="left"/>
        <w:textAlignment w:val="auto"/>
        <w:rPr>
          <w:sz w:val="24"/>
        </w:rPr>
      </w:pPr>
      <w:r>
        <w:rPr>
          <w:rFonts w:ascii="宋体" w:hAnsi="宋体" w:eastAsia="宋体" w:cs="宋体"/>
          <w:b/>
          <w:i w:val="0"/>
          <w:spacing w:val="0"/>
          <w:sz w:val="24"/>
        </w:rPr>
        <w:t>环保材料推广</w:t>
      </w:r>
      <w:r>
        <w:rPr>
          <w:rFonts w:ascii="宋体" w:hAnsi="宋体" w:eastAsia="宋体" w:cs="宋体"/>
          <w:b w:val="0"/>
          <w:i w:val="0"/>
          <w:spacing w:val="0"/>
          <w:sz w:val="24"/>
        </w:rPr>
        <w:t>：推广环保材料和节能技术，减少对环境的影响</w:t>
      </w:r>
    </w:p>
    <w:p w14:paraId="2BE26859">
      <w:pPr>
        <w:pageBreakBefore w:val="0"/>
        <w:numPr>
          <w:ilvl w:val="1"/>
          <w:numId w:val="86"/>
        </w:numPr>
        <w:wordWrap/>
        <w:spacing w:before="160" w:after="0"/>
        <w:ind w:left="880" w:right="0" w:hanging="440"/>
        <w:jc w:val="left"/>
        <w:textAlignment w:val="auto"/>
        <w:rPr>
          <w:sz w:val="24"/>
        </w:rPr>
      </w:pPr>
      <w:r>
        <w:rPr>
          <w:rFonts w:ascii="宋体" w:hAnsi="宋体" w:eastAsia="宋体" w:cs="宋体"/>
          <w:b/>
          <w:i w:val="0"/>
          <w:spacing w:val="0"/>
          <w:sz w:val="24"/>
        </w:rPr>
        <w:t>本土物种保护</w:t>
      </w:r>
      <w:r>
        <w:rPr>
          <w:rFonts w:ascii="宋体" w:hAnsi="宋体" w:eastAsia="宋体" w:cs="宋体"/>
          <w:b w:val="0"/>
          <w:i w:val="0"/>
          <w:spacing w:val="0"/>
          <w:sz w:val="24"/>
        </w:rPr>
        <w:t>：支持本土水生生物保护和繁殖，减少对外来物种依赖</w:t>
      </w:r>
    </w:p>
    <w:p w14:paraId="094B0D4E">
      <w:pPr>
        <w:pageBreakBefore w:val="0"/>
        <w:numPr>
          <w:ilvl w:val="1"/>
          <w:numId w:val="86"/>
        </w:numPr>
        <w:wordWrap/>
        <w:spacing w:before="160" w:after="0"/>
        <w:ind w:left="880" w:right="0" w:hanging="440"/>
        <w:jc w:val="left"/>
        <w:textAlignment w:val="auto"/>
        <w:rPr>
          <w:sz w:val="24"/>
        </w:rPr>
      </w:pPr>
      <w:r>
        <w:rPr>
          <w:rFonts w:ascii="宋体" w:hAnsi="宋体" w:eastAsia="宋体" w:cs="宋体"/>
          <w:b/>
          <w:i w:val="0"/>
          <w:spacing w:val="0"/>
          <w:sz w:val="24"/>
        </w:rPr>
        <w:t>水资源节约</w:t>
      </w:r>
      <w:r>
        <w:rPr>
          <w:rFonts w:ascii="宋体" w:hAnsi="宋体" w:eastAsia="宋体" w:cs="宋体"/>
          <w:b w:val="0"/>
          <w:i w:val="0"/>
          <w:spacing w:val="0"/>
          <w:sz w:val="24"/>
        </w:rPr>
        <w:t>：开发节水技术和设备，减少水族造景的水资源消耗</w:t>
      </w:r>
    </w:p>
    <w:p w14:paraId="45955605">
      <w:pPr>
        <w:pageBreakBefore w:val="0"/>
        <w:numPr>
          <w:ilvl w:val="1"/>
          <w:numId w:val="86"/>
        </w:numPr>
        <w:wordWrap/>
        <w:spacing w:before="160" w:after="0"/>
        <w:ind w:left="880" w:right="0" w:hanging="440"/>
        <w:jc w:val="left"/>
        <w:textAlignment w:val="auto"/>
        <w:rPr>
          <w:sz w:val="24"/>
        </w:rPr>
      </w:pPr>
      <w:r>
        <w:rPr>
          <w:rFonts w:ascii="宋体" w:hAnsi="宋体" w:eastAsia="宋体" w:cs="宋体"/>
          <w:b/>
          <w:i w:val="0"/>
          <w:spacing w:val="0"/>
          <w:sz w:val="24"/>
        </w:rPr>
        <w:t>能源效率提升</w:t>
      </w:r>
      <w:r>
        <w:rPr>
          <w:rFonts w:ascii="宋体" w:hAnsi="宋体" w:eastAsia="宋体" w:cs="宋体"/>
          <w:b w:val="0"/>
          <w:i w:val="0"/>
          <w:spacing w:val="0"/>
          <w:sz w:val="24"/>
        </w:rPr>
        <w:t>：提升水族设备的能源效率，减少碳排放</w:t>
      </w:r>
    </w:p>
    <w:p w14:paraId="0D860EA3">
      <w:pPr>
        <w:pageBreakBefore w:val="0"/>
        <w:wordWrap/>
        <w:spacing w:before="160" w:after="0"/>
        <w:ind w:left="0" w:right="0"/>
        <w:jc w:val="left"/>
        <w:textAlignment w:val="auto"/>
        <w:rPr>
          <w:sz w:val="28"/>
        </w:rPr>
      </w:pPr>
      <w:r>
        <w:rPr>
          <w:rFonts w:ascii="宋体" w:hAnsi="宋体" w:eastAsia="宋体" w:cs="宋体"/>
          <w:b/>
          <w:i w:val="0"/>
          <w:spacing w:val="0"/>
          <w:sz w:val="28"/>
        </w:rPr>
        <w:t>8.3 未来研究方向</w:t>
      </w:r>
    </w:p>
    <w:p w14:paraId="0428D430">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水族造景行业的未来发展将聚焦于</w:t>
      </w:r>
      <w:r>
        <w:rPr>
          <w:rFonts w:ascii="宋体" w:hAnsi="宋体" w:eastAsia="宋体" w:cs="宋体"/>
          <w:b/>
          <w:i w:val="0"/>
          <w:spacing w:val="0"/>
          <w:sz w:val="24"/>
        </w:rPr>
        <w:t>技术创新、生态研究和跨界融合</w:t>
      </w:r>
      <w:r>
        <w:rPr>
          <w:rFonts w:ascii="宋体" w:hAnsi="宋体" w:eastAsia="宋体" w:cs="宋体"/>
          <w:b w:val="0"/>
          <w:i w:val="0"/>
          <w:spacing w:val="0"/>
          <w:sz w:val="24"/>
        </w:rPr>
        <w:t>三大方向，研究重点包括技术难点、材料创新和生态平衡机制等。</w:t>
      </w:r>
    </w:p>
    <w:p w14:paraId="50196FFA">
      <w:pPr>
        <w:pageBreakBefore w:val="0"/>
        <w:wordWrap/>
        <w:spacing w:before="160" w:after="0"/>
        <w:ind w:left="0" w:right="0"/>
        <w:jc w:val="left"/>
        <w:textAlignment w:val="auto"/>
        <w:rPr>
          <w:sz w:val="24"/>
        </w:rPr>
      </w:pPr>
      <w:r>
        <w:rPr>
          <w:rFonts w:ascii="宋体" w:hAnsi="宋体" w:eastAsia="宋体" w:cs="宋体"/>
          <w:b/>
          <w:i w:val="0"/>
          <w:spacing w:val="0"/>
          <w:sz w:val="24"/>
        </w:rPr>
        <w:t>待解决的技术难题</w:t>
      </w:r>
      <w:r>
        <w:rPr>
          <w:rFonts w:ascii="宋体" w:hAnsi="宋体" w:eastAsia="宋体" w:cs="宋体"/>
          <w:b w:val="0"/>
          <w:i w:val="0"/>
          <w:spacing w:val="0"/>
          <w:sz w:val="24"/>
        </w:rPr>
        <w:t>：</w:t>
      </w:r>
    </w:p>
    <w:p w14:paraId="03A2BB6E">
      <w:pPr>
        <w:pageBreakBefore w:val="0"/>
        <w:numPr>
          <w:ilvl w:val="0"/>
          <w:numId w:val="87"/>
        </w:numPr>
        <w:wordWrap/>
        <w:spacing w:before="160" w:after="0"/>
        <w:ind w:left="440" w:right="0" w:hanging="440"/>
        <w:jc w:val="left"/>
        <w:textAlignment w:val="auto"/>
        <w:rPr>
          <w:sz w:val="24"/>
        </w:rPr>
      </w:pPr>
      <w:r>
        <w:rPr>
          <w:rFonts w:ascii="宋体" w:hAnsi="宋体" w:eastAsia="宋体" w:cs="宋体"/>
          <w:b/>
          <w:i w:val="0"/>
          <w:spacing w:val="0"/>
          <w:sz w:val="24"/>
        </w:rPr>
        <w:t>AI水质模型优化</w:t>
      </w:r>
      <w:r>
        <w:rPr>
          <w:rFonts w:ascii="宋体" w:hAnsi="宋体" w:eastAsia="宋体" w:cs="宋体"/>
          <w:b w:val="0"/>
          <w:i w:val="0"/>
          <w:spacing w:val="0"/>
          <w:sz w:val="24"/>
        </w:rPr>
        <w:t>：当前AI水质模型存在约20%的算法误差风险，需优化参数校准（如结合本地水质数据训练），提高预测准确性。</w:t>
      </w:r>
    </w:p>
    <w:p w14:paraId="18AFEAE0">
      <w:pPr>
        <w:pageBreakBefore w:val="0"/>
        <w:numPr>
          <w:ilvl w:val="0"/>
          <w:numId w:val="87"/>
        </w:numPr>
        <w:wordWrap/>
        <w:spacing w:before="160" w:after="0"/>
        <w:ind w:left="440" w:right="0" w:hanging="440"/>
        <w:jc w:val="left"/>
        <w:textAlignment w:val="auto"/>
        <w:rPr>
          <w:sz w:val="24"/>
        </w:rPr>
      </w:pPr>
      <w:r>
        <w:rPr>
          <w:rFonts w:ascii="宋体" w:hAnsi="宋体" w:eastAsia="宋体" w:cs="宋体"/>
          <w:b/>
          <w:i w:val="0"/>
          <w:spacing w:val="0"/>
          <w:sz w:val="24"/>
        </w:rPr>
        <w:t>亚克力材料技术突破</w:t>
      </w:r>
      <w:r>
        <w:rPr>
          <w:rFonts w:ascii="宋体" w:hAnsi="宋体" w:eastAsia="宋体" w:cs="宋体"/>
          <w:b w:val="0"/>
          <w:i w:val="0"/>
          <w:spacing w:val="0"/>
          <w:sz w:val="24"/>
        </w:rPr>
        <w:t>：亚克力板材抗应力开裂技术尚未突破，需研发新型粘合剂和制造工艺，提高大型水族箱的安全性和使用寿命。</w:t>
      </w:r>
    </w:p>
    <w:p w14:paraId="23B21EB9">
      <w:pPr>
        <w:pageBreakBefore w:val="0"/>
        <w:numPr>
          <w:ilvl w:val="0"/>
          <w:numId w:val="87"/>
        </w:numPr>
        <w:wordWrap/>
        <w:spacing w:before="160" w:after="0"/>
        <w:ind w:left="440" w:right="0" w:hanging="440"/>
        <w:jc w:val="left"/>
        <w:textAlignment w:val="auto"/>
        <w:rPr>
          <w:sz w:val="24"/>
        </w:rPr>
      </w:pPr>
      <w:r>
        <w:rPr>
          <w:rFonts w:ascii="宋体" w:hAnsi="宋体" w:eastAsia="宋体" w:cs="宋体"/>
          <w:b/>
          <w:i w:val="0"/>
          <w:spacing w:val="0"/>
          <w:sz w:val="24"/>
        </w:rPr>
        <w:t>生态材料成本控制</w:t>
      </w:r>
      <w:r>
        <w:rPr>
          <w:rFonts w:ascii="宋体" w:hAnsi="宋体" w:eastAsia="宋体" w:cs="宋体"/>
          <w:b w:val="0"/>
          <w:i w:val="0"/>
          <w:spacing w:val="0"/>
          <w:sz w:val="24"/>
        </w:rPr>
        <w:t>：纳米涂层过滤器成本高（单价没有提供），可降解底床材料研发成本高，需通过技术创新和规模化生产降低使用成本。</w:t>
      </w:r>
    </w:p>
    <w:p w14:paraId="297C6FC7">
      <w:pPr>
        <w:pageBreakBefore w:val="0"/>
        <w:numPr>
          <w:ilvl w:val="0"/>
          <w:numId w:val="87"/>
        </w:numPr>
        <w:wordWrap/>
        <w:spacing w:before="160" w:after="0"/>
        <w:ind w:left="440" w:right="0" w:hanging="440"/>
        <w:jc w:val="left"/>
        <w:textAlignment w:val="auto"/>
        <w:rPr>
          <w:sz w:val="24"/>
        </w:rPr>
      </w:pPr>
      <w:r>
        <w:rPr>
          <w:rFonts w:ascii="宋体" w:hAnsi="宋体" w:eastAsia="宋体" w:cs="宋体"/>
          <w:b/>
          <w:i w:val="0"/>
          <w:spacing w:val="0"/>
          <w:sz w:val="24"/>
        </w:rPr>
        <w:t>生物多样性平衡技术</w:t>
      </w:r>
      <w:r>
        <w:rPr>
          <w:rFonts w:ascii="宋体" w:hAnsi="宋体" w:eastAsia="宋体" w:cs="宋体"/>
          <w:b w:val="0"/>
          <w:i w:val="0"/>
          <w:spacing w:val="0"/>
          <w:sz w:val="24"/>
        </w:rPr>
        <w:t>：如何在有限空间内实现生物多样性的动态平衡，仍是技术难点，需深入研究生物间相互作用机制。</w:t>
      </w:r>
    </w:p>
    <w:p w14:paraId="4FEE7E48">
      <w:pPr>
        <w:pageBreakBefore w:val="0"/>
        <w:numPr>
          <w:ilvl w:val="0"/>
          <w:numId w:val="87"/>
        </w:numPr>
        <w:wordWrap/>
        <w:spacing w:before="160" w:after="0"/>
        <w:ind w:left="440" w:right="0" w:hanging="440"/>
        <w:jc w:val="left"/>
        <w:textAlignment w:val="auto"/>
        <w:rPr>
          <w:sz w:val="24"/>
        </w:rPr>
      </w:pPr>
      <w:r>
        <w:rPr>
          <w:rFonts w:ascii="宋体" w:hAnsi="宋体" w:eastAsia="宋体" w:cs="宋体"/>
          <w:b/>
          <w:i w:val="0"/>
          <w:spacing w:val="0"/>
          <w:sz w:val="24"/>
        </w:rPr>
        <w:t>数字孪生系统应用</w:t>
      </w:r>
      <w:r>
        <w:rPr>
          <w:rFonts w:ascii="宋体" w:hAnsi="宋体" w:eastAsia="宋体" w:cs="宋体"/>
          <w:b w:val="0"/>
          <w:i w:val="0"/>
          <w:spacing w:val="0"/>
          <w:sz w:val="24"/>
        </w:rPr>
        <w:t>：如何将数字孪生技术应用于大型水族馆设计和管理，模拟水流与生物负载，优化设计，仍是未来研究方向。</w:t>
      </w:r>
    </w:p>
    <w:p w14:paraId="103A9819">
      <w:pPr>
        <w:pageBreakBefore w:val="0"/>
        <w:wordWrap/>
        <w:spacing w:before="160" w:after="0"/>
        <w:ind w:left="0" w:right="0"/>
        <w:jc w:val="left"/>
        <w:textAlignment w:val="auto"/>
        <w:rPr>
          <w:sz w:val="24"/>
        </w:rPr>
      </w:pPr>
      <w:r>
        <w:rPr>
          <w:rFonts w:ascii="宋体" w:hAnsi="宋体" w:eastAsia="宋体" w:cs="宋体"/>
          <w:b/>
          <w:i w:val="0"/>
          <w:spacing w:val="0"/>
          <w:sz w:val="24"/>
        </w:rPr>
        <w:t>跨学科研究潜力</w:t>
      </w:r>
      <w:r>
        <w:rPr>
          <w:rFonts w:ascii="宋体" w:hAnsi="宋体" w:eastAsia="宋体" w:cs="宋体"/>
          <w:b w:val="0"/>
          <w:i w:val="0"/>
          <w:spacing w:val="0"/>
          <w:sz w:val="24"/>
        </w:rPr>
        <w:t>：</w:t>
      </w:r>
    </w:p>
    <w:p w14:paraId="6FADE524">
      <w:pPr>
        <w:pageBreakBefore w:val="0"/>
        <w:numPr>
          <w:ilvl w:val="0"/>
          <w:numId w:val="88"/>
        </w:numPr>
        <w:wordWrap/>
        <w:spacing w:before="160" w:after="0"/>
        <w:ind w:left="440" w:right="0" w:hanging="440"/>
        <w:jc w:val="left"/>
        <w:textAlignment w:val="auto"/>
        <w:rPr>
          <w:sz w:val="24"/>
        </w:rPr>
      </w:pPr>
      <w:r>
        <w:rPr>
          <w:rFonts w:ascii="宋体" w:hAnsi="宋体" w:eastAsia="宋体" w:cs="宋体"/>
          <w:b/>
          <w:i w:val="0"/>
          <w:spacing w:val="0"/>
          <w:sz w:val="24"/>
        </w:rPr>
        <w:t>微生物组学应用</w:t>
      </w:r>
      <w:r>
        <w:rPr>
          <w:rFonts w:ascii="宋体" w:hAnsi="宋体" w:eastAsia="宋体" w:cs="宋体"/>
          <w:b w:val="0"/>
          <w:i w:val="0"/>
          <w:spacing w:val="0"/>
          <w:sz w:val="24"/>
        </w:rPr>
        <w:t>：深入研究水族箱微生物组学，探索更稳定的生态系统构建方法，打破无菌迷思，构建复杂生态网络。</w:t>
      </w:r>
    </w:p>
    <w:p w14:paraId="3A915AB4">
      <w:pPr>
        <w:pageBreakBefore w:val="0"/>
        <w:numPr>
          <w:ilvl w:val="0"/>
          <w:numId w:val="88"/>
        </w:numPr>
        <w:wordWrap/>
        <w:spacing w:before="160" w:after="0"/>
        <w:ind w:left="440" w:right="0" w:hanging="440"/>
        <w:jc w:val="left"/>
        <w:textAlignment w:val="auto"/>
        <w:rPr>
          <w:sz w:val="24"/>
        </w:rPr>
      </w:pPr>
      <w:r>
        <w:rPr>
          <w:rFonts w:ascii="宋体" w:hAnsi="宋体" w:eastAsia="宋体" w:cs="宋体"/>
          <w:b/>
          <w:i w:val="0"/>
          <w:spacing w:val="0"/>
          <w:sz w:val="24"/>
        </w:rPr>
        <w:t>人工智能与生态学结合</w:t>
      </w:r>
      <w:r>
        <w:rPr>
          <w:rFonts w:ascii="宋体" w:hAnsi="宋体" w:eastAsia="宋体" w:cs="宋体"/>
          <w:b w:val="0"/>
          <w:i w:val="0"/>
          <w:spacing w:val="0"/>
          <w:sz w:val="24"/>
        </w:rPr>
        <w:t>：将人工智能技术与生态学原理结合，开发更智能的水质预测和管理模型，提高系统稳定性。</w:t>
      </w:r>
    </w:p>
    <w:p w14:paraId="0A7C52B1">
      <w:pPr>
        <w:pageBreakBefore w:val="0"/>
        <w:numPr>
          <w:ilvl w:val="0"/>
          <w:numId w:val="88"/>
        </w:numPr>
        <w:wordWrap/>
        <w:spacing w:before="160" w:after="0"/>
        <w:ind w:left="440" w:right="0" w:hanging="440"/>
        <w:jc w:val="left"/>
        <w:textAlignment w:val="auto"/>
        <w:rPr>
          <w:sz w:val="24"/>
        </w:rPr>
      </w:pPr>
      <w:r>
        <w:rPr>
          <w:rFonts w:ascii="宋体" w:hAnsi="宋体" w:eastAsia="宋体" w:cs="宋体"/>
          <w:b/>
          <w:i w:val="0"/>
          <w:spacing w:val="0"/>
          <w:sz w:val="24"/>
        </w:rPr>
        <w:t>材料科学与水族造景结合</w:t>
      </w:r>
      <w:r>
        <w:rPr>
          <w:rFonts w:ascii="宋体" w:hAnsi="宋体" w:eastAsia="宋体" w:cs="宋体"/>
          <w:b w:val="0"/>
          <w:i w:val="0"/>
          <w:spacing w:val="0"/>
          <w:sz w:val="24"/>
        </w:rPr>
        <w:t>：将新材料科学应用于水族造景，开发更环保、更耐用的造景材料。</w:t>
      </w:r>
    </w:p>
    <w:p w14:paraId="5A232E59">
      <w:pPr>
        <w:pageBreakBefore w:val="0"/>
        <w:numPr>
          <w:ilvl w:val="0"/>
          <w:numId w:val="88"/>
        </w:numPr>
        <w:wordWrap/>
        <w:spacing w:before="160" w:after="0"/>
        <w:ind w:left="440" w:right="0" w:hanging="440"/>
        <w:jc w:val="left"/>
        <w:textAlignment w:val="auto"/>
        <w:rPr>
          <w:sz w:val="24"/>
        </w:rPr>
      </w:pPr>
      <w:r>
        <w:rPr>
          <w:rFonts w:ascii="宋体" w:hAnsi="宋体" w:eastAsia="宋体" w:cs="宋体"/>
          <w:b/>
          <w:i w:val="0"/>
          <w:spacing w:val="0"/>
          <w:sz w:val="24"/>
        </w:rPr>
        <w:t>艺术设计与生态工程结合</w:t>
      </w:r>
      <w:r>
        <w:rPr>
          <w:rFonts w:ascii="宋体" w:hAnsi="宋体" w:eastAsia="宋体" w:cs="宋体"/>
          <w:b w:val="0"/>
          <w:i w:val="0"/>
          <w:spacing w:val="0"/>
          <w:sz w:val="24"/>
        </w:rPr>
        <w:t>：将艺术设计与生态工程原理结合，打造更具美学价值和生态功能的水族造景作品。</w:t>
      </w:r>
    </w:p>
    <w:p w14:paraId="19798982">
      <w:pPr>
        <w:pageBreakBefore w:val="0"/>
        <w:numPr>
          <w:ilvl w:val="0"/>
          <w:numId w:val="88"/>
        </w:numPr>
        <w:wordWrap/>
        <w:spacing w:before="160" w:after="0"/>
        <w:ind w:left="440" w:right="0" w:hanging="440"/>
        <w:jc w:val="left"/>
        <w:textAlignment w:val="auto"/>
        <w:rPr>
          <w:sz w:val="24"/>
        </w:rPr>
      </w:pPr>
      <w:r>
        <w:rPr>
          <w:rFonts w:ascii="宋体" w:hAnsi="宋体" w:eastAsia="宋体" w:cs="宋体"/>
          <w:b/>
          <w:i w:val="0"/>
          <w:spacing w:val="0"/>
          <w:sz w:val="24"/>
        </w:rPr>
        <w:t>教育与水族造景结合</w:t>
      </w:r>
      <w:r>
        <w:rPr>
          <w:rFonts w:ascii="宋体" w:hAnsi="宋体" w:eastAsia="宋体" w:cs="宋体"/>
          <w:b w:val="0"/>
          <w:i w:val="0"/>
          <w:spacing w:val="0"/>
          <w:sz w:val="24"/>
        </w:rPr>
        <w:t>：将教育理念与水族造景结合，开发更具教育价值的水族造景产品和服务。</w:t>
      </w:r>
    </w:p>
    <w:p w14:paraId="6DB04E93">
      <w:pPr>
        <w:pageBreakBefore w:val="0"/>
        <w:wordWrap/>
        <w:spacing w:before="160" w:after="0"/>
        <w:ind w:left="0" w:right="0"/>
        <w:jc w:val="left"/>
        <w:textAlignment w:val="auto"/>
        <w:rPr>
          <w:sz w:val="24"/>
        </w:rPr>
      </w:pPr>
      <w:r>
        <w:rPr>
          <w:rFonts w:ascii="宋体" w:hAnsi="宋体" w:eastAsia="宋体" w:cs="宋体"/>
          <w:b/>
          <w:i w:val="0"/>
          <w:spacing w:val="0"/>
          <w:sz w:val="24"/>
        </w:rPr>
        <w:t>未来研究方向总结</w:t>
      </w:r>
      <w:r>
        <w:rPr>
          <w:rFonts w:ascii="宋体" w:hAnsi="宋体" w:eastAsia="宋体" w:cs="宋体"/>
          <w:b w:val="0"/>
          <w:i w:val="0"/>
          <w:spacing w:val="0"/>
          <w:sz w:val="24"/>
        </w:rPr>
        <w:t>：</w:t>
      </w:r>
    </w:p>
    <w:p w14:paraId="4CA9327C">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水族造景行业的未来研究方向将围绕**"技术突破、生态优化和跨界融合"**三大主题展开，通过解决当前技术难题、开发新型环保材料和探索跨界融合应用场景，推动行业向更高水平发展。</w:t>
      </w:r>
      <w:r>
        <w:rPr>
          <w:rFonts w:ascii="宋体" w:hAnsi="宋体" w:eastAsia="宋体" w:cs="宋体"/>
          <w:b/>
          <w:i w:val="0"/>
          <w:spacing w:val="0"/>
          <w:sz w:val="24"/>
        </w:rPr>
        <w:t>研究重点将从单一功能向系统集成、从人工管理向智能调控、从单一观赏向多元价值转变</w:t>
      </w:r>
      <w:r>
        <w:rPr>
          <w:rFonts w:ascii="宋体" w:hAnsi="宋体" w:eastAsia="宋体" w:cs="宋体"/>
          <w:b w:val="0"/>
          <w:i w:val="0"/>
          <w:spacing w:val="0"/>
          <w:sz w:val="24"/>
        </w:rPr>
        <w:t>，实现水族造景的艺术与生态价值的完美统一。</w:t>
      </w:r>
    </w:p>
    <w:p w14:paraId="39A910EB">
      <w:pPr>
        <w:pageBreakBefore w:val="0"/>
        <w:wordWrap/>
        <w:spacing w:before="160" w:after="0"/>
        <w:ind w:left="0" w:right="0"/>
        <w:jc w:val="left"/>
        <w:textAlignment w:val="auto"/>
        <w:rPr>
          <w:rFonts w:ascii="宋体" w:hAnsi="宋体" w:eastAsia="宋体" w:cs="宋体"/>
          <w:b/>
          <w:i w:val="0"/>
          <w:spacing w:val="0"/>
          <w:sz w:val="36"/>
        </w:rPr>
      </w:pPr>
    </w:p>
    <w:p w14:paraId="365DF5EB">
      <w:pPr>
        <w:pageBreakBefore w:val="0"/>
        <w:wordWrap/>
        <w:spacing w:before="160" w:after="0"/>
        <w:ind w:left="0" w:right="0"/>
        <w:jc w:val="left"/>
        <w:textAlignment w:val="auto"/>
        <w:rPr>
          <w:sz w:val="36"/>
        </w:rPr>
      </w:pPr>
      <w:r>
        <w:rPr>
          <w:rFonts w:ascii="宋体" w:hAnsi="宋体" w:eastAsia="宋体" w:cs="宋体"/>
          <w:b/>
          <w:i w:val="0"/>
          <w:spacing w:val="0"/>
          <w:sz w:val="36"/>
        </w:rPr>
        <w:t>8. 结论与建议</w:t>
      </w:r>
    </w:p>
    <w:p w14:paraId="0C557AE6">
      <w:pPr>
        <w:pageBreakBefore w:val="0"/>
        <w:wordWrap/>
        <w:spacing w:before="160" w:after="0"/>
        <w:ind w:left="0" w:right="0"/>
        <w:jc w:val="left"/>
        <w:textAlignment w:val="auto"/>
        <w:rPr>
          <w:sz w:val="24"/>
        </w:rPr>
      </w:pPr>
      <w:r>
        <w:rPr>
          <w:rFonts w:ascii="宋体" w:hAnsi="宋体" w:eastAsia="宋体" w:cs="宋体"/>
          <w:b/>
          <w:i w:val="0"/>
          <w:spacing w:val="0"/>
          <w:sz w:val="24"/>
        </w:rPr>
        <w:t>水族造景的核心观点总结</w:t>
      </w:r>
      <w:r>
        <w:rPr>
          <w:rFonts w:ascii="宋体" w:hAnsi="宋体" w:eastAsia="宋体" w:cs="宋体"/>
          <w:b w:val="0"/>
          <w:i w:val="0"/>
          <w:spacing w:val="0"/>
          <w:sz w:val="24"/>
        </w:rPr>
        <w:t>：</w:t>
      </w:r>
    </w:p>
    <w:p w14:paraId="76DF2C2A">
      <w:pPr>
        <w:pageBreakBefore w:val="0"/>
        <w:numPr>
          <w:ilvl w:val="0"/>
          <w:numId w:val="89"/>
        </w:numPr>
        <w:wordWrap/>
        <w:spacing w:before="160" w:after="0"/>
        <w:ind w:left="440" w:right="0" w:hanging="440"/>
        <w:jc w:val="left"/>
        <w:textAlignment w:val="auto"/>
        <w:rPr>
          <w:sz w:val="24"/>
        </w:rPr>
      </w:pPr>
      <w:r>
        <w:rPr>
          <w:rFonts w:ascii="宋体" w:hAnsi="宋体" w:eastAsia="宋体" w:cs="宋体"/>
          <w:b/>
          <w:i w:val="0"/>
          <w:spacing w:val="0"/>
          <w:sz w:val="24"/>
        </w:rPr>
        <w:t>系统稳定性是基础</w:t>
      </w:r>
      <w:r>
        <w:rPr>
          <w:rFonts w:ascii="宋体" w:hAnsi="宋体" w:eastAsia="宋体" w:cs="宋体"/>
          <w:b w:val="0"/>
          <w:i w:val="0"/>
          <w:spacing w:val="0"/>
          <w:sz w:val="24"/>
        </w:rPr>
        <w:t>：无论何种风格和规模的水族造景，系统稳定性都是首要目标，维护管理必须建立在此基础上。</w:t>
      </w:r>
    </w:p>
    <w:p w14:paraId="27597194">
      <w:pPr>
        <w:pageBreakBefore w:val="0"/>
        <w:numPr>
          <w:ilvl w:val="0"/>
          <w:numId w:val="89"/>
        </w:numPr>
        <w:wordWrap/>
        <w:spacing w:before="160" w:after="0"/>
        <w:ind w:left="440" w:right="0" w:hanging="440"/>
        <w:jc w:val="left"/>
        <w:textAlignment w:val="auto"/>
        <w:rPr>
          <w:sz w:val="24"/>
        </w:rPr>
      </w:pPr>
      <w:r>
        <w:rPr>
          <w:rFonts w:ascii="宋体" w:hAnsi="宋体" w:eastAsia="宋体" w:cs="宋体"/>
          <w:b/>
          <w:i w:val="0"/>
          <w:spacing w:val="0"/>
          <w:sz w:val="24"/>
        </w:rPr>
        <w:t>参数精细化控制是关键</w:t>
      </w:r>
      <w:r>
        <w:rPr>
          <w:rFonts w:ascii="宋体" w:hAnsi="宋体" w:eastAsia="宋体" w:cs="宋体"/>
          <w:b w:val="0"/>
          <w:i w:val="0"/>
          <w:spacing w:val="0"/>
          <w:sz w:val="24"/>
        </w:rPr>
        <w:t>：对关键水质参数的精细化控制是维护管理的核心，需建立日常监测与记录习惯，及时发现问题并干预。</w:t>
      </w:r>
    </w:p>
    <w:p w14:paraId="1F162E62">
      <w:pPr>
        <w:pageBreakBefore w:val="0"/>
        <w:numPr>
          <w:ilvl w:val="0"/>
          <w:numId w:val="89"/>
        </w:numPr>
        <w:wordWrap/>
        <w:spacing w:before="160" w:after="0"/>
        <w:ind w:left="440" w:right="0" w:hanging="440"/>
        <w:jc w:val="left"/>
        <w:textAlignment w:val="auto"/>
        <w:rPr>
          <w:sz w:val="24"/>
        </w:rPr>
      </w:pPr>
      <w:r>
        <w:rPr>
          <w:rFonts w:ascii="宋体" w:hAnsi="宋体" w:eastAsia="宋体" w:cs="宋体"/>
          <w:b/>
          <w:i w:val="0"/>
          <w:spacing w:val="0"/>
          <w:sz w:val="24"/>
        </w:rPr>
        <w:t>维护频率需科学化</w:t>
      </w:r>
      <w:r>
        <w:rPr>
          <w:rFonts w:ascii="宋体" w:hAnsi="宋体" w:eastAsia="宋体" w:cs="宋体"/>
          <w:b w:val="0"/>
          <w:i w:val="0"/>
          <w:spacing w:val="0"/>
          <w:sz w:val="24"/>
        </w:rPr>
        <w:t>：维护频率应根据造景风格、缸体规模和生物负载科学制定，不可一概而论。</w:t>
      </w:r>
    </w:p>
    <w:p w14:paraId="49636C0B">
      <w:pPr>
        <w:pageBreakBefore w:val="0"/>
        <w:numPr>
          <w:ilvl w:val="0"/>
          <w:numId w:val="89"/>
        </w:numPr>
        <w:wordWrap/>
        <w:spacing w:before="160" w:after="0"/>
        <w:ind w:left="440" w:right="0" w:hanging="440"/>
        <w:jc w:val="left"/>
        <w:textAlignment w:val="auto"/>
        <w:rPr>
          <w:sz w:val="24"/>
        </w:rPr>
      </w:pPr>
      <w:r>
        <w:rPr>
          <w:rFonts w:ascii="宋体" w:hAnsi="宋体" w:eastAsia="宋体" w:cs="宋体"/>
          <w:b/>
          <w:i w:val="0"/>
          <w:spacing w:val="0"/>
          <w:sz w:val="24"/>
        </w:rPr>
        <w:t>生物适配性决定成败</w:t>
      </w:r>
      <w:r>
        <w:rPr>
          <w:rFonts w:ascii="宋体" w:hAnsi="宋体" w:eastAsia="宋体" w:cs="宋体"/>
          <w:b w:val="0"/>
          <w:i w:val="0"/>
          <w:spacing w:val="0"/>
          <w:sz w:val="24"/>
        </w:rPr>
        <w:t>：生物选择与配置是水族造景成败的关键，需严格遵循生物适配原则，控制生物密度。</w:t>
      </w:r>
    </w:p>
    <w:p w14:paraId="54E320DB">
      <w:pPr>
        <w:pageBreakBefore w:val="0"/>
        <w:numPr>
          <w:ilvl w:val="0"/>
          <w:numId w:val="89"/>
        </w:numPr>
        <w:wordWrap/>
        <w:spacing w:before="160" w:after="0"/>
        <w:ind w:left="440" w:right="0" w:hanging="440"/>
        <w:jc w:val="left"/>
        <w:textAlignment w:val="auto"/>
        <w:rPr>
          <w:sz w:val="24"/>
        </w:rPr>
      </w:pPr>
      <w:r>
        <w:rPr>
          <w:rFonts w:ascii="宋体" w:hAnsi="宋体" w:eastAsia="宋体" w:cs="宋体"/>
          <w:b/>
          <w:i w:val="0"/>
          <w:spacing w:val="0"/>
          <w:sz w:val="24"/>
        </w:rPr>
        <w:t>技术创新推动行业进步</w:t>
      </w:r>
      <w:r>
        <w:rPr>
          <w:rFonts w:ascii="宋体" w:hAnsi="宋体" w:eastAsia="宋体" w:cs="宋体"/>
          <w:b w:val="0"/>
          <w:i w:val="0"/>
          <w:spacing w:val="0"/>
          <w:sz w:val="24"/>
        </w:rPr>
        <w:t>：智能控制系统、新型生态材料等技术创新正推动水族造景向专业化、智能化和生态可持续方向发展。</w:t>
      </w:r>
    </w:p>
    <w:p w14:paraId="7BC02FBC">
      <w:pPr>
        <w:pageBreakBefore w:val="0"/>
        <w:wordWrap/>
        <w:spacing w:before="160" w:after="0"/>
        <w:ind w:left="0" w:right="0"/>
        <w:jc w:val="left"/>
        <w:textAlignment w:val="auto"/>
        <w:rPr>
          <w:sz w:val="24"/>
        </w:rPr>
      </w:pPr>
      <w:r>
        <w:rPr>
          <w:rFonts w:ascii="宋体" w:hAnsi="宋体" w:eastAsia="宋体" w:cs="宋体"/>
          <w:b/>
          <w:i w:val="0"/>
          <w:spacing w:val="0"/>
          <w:sz w:val="24"/>
        </w:rPr>
        <w:t>实践建议总结</w:t>
      </w:r>
      <w:r>
        <w:rPr>
          <w:rFonts w:ascii="宋体" w:hAnsi="宋体" w:eastAsia="宋体" w:cs="宋体"/>
          <w:b w:val="0"/>
          <w:i w:val="0"/>
          <w:spacing w:val="0"/>
          <w:sz w:val="24"/>
        </w:rPr>
        <w:t>：</w:t>
      </w:r>
    </w:p>
    <w:p w14:paraId="071ADD0A">
      <w:pPr>
        <w:pageBreakBefore w:val="0"/>
        <w:numPr>
          <w:ilvl w:val="0"/>
          <w:numId w:val="90"/>
        </w:numPr>
        <w:wordWrap/>
        <w:spacing w:before="160" w:after="0"/>
        <w:ind w:left="440" w:right="0" w:hanging="440"/>
        <w:jc w:val="left"/>
        <w:textAlignment w:val="auto"/>
        <w:rPr>
          <w:sz w:val="24"/>
        </w:rPr>
      </w:pPr>
      <w:r>
        <w:rPr>
          <w:rFonts w:ascii="宋体" w:hAnsi="宋体" w:eastAsia="宋体" w:cs="宋体"/>
          <w:b/>
          <w:i w:val="0"/>
          <w:spacing w:val="0"/>
          <w:sz w:val="24"/>
        </w:rPr>
        <w:t>针对爱好者</w:t>
      </w:r>
      <w:r>
        <w:rPr>
          <w:rFonts w:ascii="宋体" w:hAnsi="宋体" w:eastAsia="宋体" w:cs="宋体"/>
          <w:b w:val="0"/>
          <w:i w:val="0"/>
          <w:spacing w:val="0"/>
          <w:sz w:val="24"/>
        </w:rPr>
        <w:t>：</w:t>
      </w:r>
    </w:p>
    <w:p w14:paraId="74CE24BE">
      <w:pPr>
        <w:pageBreakBefore w:val="0"/>
        <w:numPr>
          <w:ilvl w:val="1"/>
          <w:numId w:val="91"/>
        </w:numPr>
        <w:wordWrap/>
        <w:spacing w:before="160" w:after="0"/>
        <w:ind w:left="880" w:right="0" w:hanging="440"/>
        <w:jc w:val="left"/>
        <w:textAlignment w:val="auto"/>
        <w:rPr>
          <w:sz w:val="24"/>
        </w:rPr>
      </w:pPr>
      <w:r>
        <w:rPr>
          <w:rFonts w:ascii="宋体" w:hAnsi="宋体" w:eastAsia="宋体" w:cs="宋体"/>
          <w:b w:val="0"/>
          <w:i w:val="0"/>
          <w:spacing w:val="0"/>
          <w:sz w:val="24"/>
        </w:rPr>
        <w:t>从基础设备和简单风格起步，逐步提升造景难度和技术要求</w:t>
      </w:r>
    </w:p>
    <w:p w14:paraId="330D4B57">
      <w:pPr>
        <w:pageBreakBefore w:val="0"/>
        <w:numPr>
          <w:ilvl w:val="1"/>
          <w:numId w:val="91"/>
        </w:numPr>
        <w:wordWrap/>
        <w:spacing w:before="160" w:after="0"/>
        <w:ind w:left="880" w:right="0" w:hanging="440"/>
        <w:jc w:val="left"/>
        <w:textAlignment w:val="auto"/>
        <w:rPr>
          <w:sz w:val="24"/>
        </w:rPr>
      </w:pPr>
      <w:r>
        <w:rPr>
          <w:rFonts w:ascii="宋体" w:hAnsi="宋体" w:eastAsia="宋体" w:cs="宋体"/>
          <w:b w:val="0"/>
          <w:i w:val="0"/>
          <w:spacing w:val="0"/>
          <w:sz w:val="24"/>
        </w:rPr>
        <w:t>学习科学的维护管理方法，建立规律的维护节奏</w:t>
      </w:r>
    </w:p>
    <w:p w14:paraId="0E3D3AC5">
      <w:pPr>
        <w:pageBreakBefore w:val="0"/>
        <w:numPr>
          <w:ilvl w:val="1"/>
          <w:numId w:val="91"/>
        </w:numPr>
        <w:wordWrap/>
        <w:spacing w:before="160" w:after="0"/>
        <w:ind w:left="880" w:right="0" w:hanging="440"/>
        <w:jc w:val="left"/>
        <w:textAlignment w:val="auto"/>
        <w:rPr>
          <w:sz w:val="24"/>
        </w:rPr>
      </w:pPr>
      <w:r>
        <w:rPr>
          <w:rFonts w:ascii="宋体" w:hAnsi="宋体" w:eastAsia="宋体" w:cs="宋体"/>
          <w:b w:val="0"/>
          <w:i w:val="0"/>
          <w:spacing w:val="0"/>
          <w:sz w:val="24"/>
        </w:rPr>
        <w:t>考虑智能设备辅助，降低维护难度</w:t>
      </w:r>
    </w:p>
    <w:p w14:paraId="30C123B2">
      <w:pPr>
        <w:pageBreakBefore w:val="0"/>
        <w:numPr>
          <w:ilvl w:val="1"/>
          <w:numId w:val="91"/>
        </w:numPr>
        <w:wordWrap/>
        <w:spacing w:before="160" w:after="0"/>
        <w:ind w:left="880" w:right="0" w:hanging="440"/>
        <w:jc w:val="left"/>
        <w:textAlignment w:val="auto"/>
        <w:rPr>
          <w:sz w:val="24"/>
        </w:rPr>
      </w:pPr>
      <w:r>
        <w:rPr>
          <w:rFonts w:ascii="宋体" w:hAnsi="宋体" w:eastAsia="宋体" w:cs="宋体"/>
          <w:b w:val="0"/>
          <w:i w:val="0"/>
          <w:spacing w:val="0"/>
          <w:sz w:val="24"/>
        </w:rPr>
        <w:t>参与进阶培训和认证，提升专业技能</w:t>
      </w:r>
    </w:p>
    <w:p w14:paraId="2CDB1B80">
      <w:pPr>
        <w:pageBreakBefore w:val="0"/>
        <w:numPr>
          <w:ilvl w:val="0"/>
          <w:numId w:val="90"/>
        </w:numPr>
        <w:wordWrap/>
        <w:spacing w:before="160" w:after="0"/>
        <w:ind w:left="440" w:right="0" w:hanging="440"/>
        <w:jc w:val="left"/>
        <w:textAlignment w:val="auto"/>
        <w:rPr>
          <w:sz w:val="24"/>
        </w:rPr>
      </w:pPr>
      <w:r>
        <w:rPr>
          <w:rFonts w:ascii="宋体" w:hAnsi="宋体" w:eastAsia="宋体" w:cs="宋体"/>
          <w:b/>
          <w:i w:val="0"/>
          <w:spacing w:val="0"/>
          <w:sz w:val="24"/>
        </w:rPr>
        <w:t>针对从业者</w:t>
      </w:r>
      <w:r>
        <w:rPr>
          <w:rFonts w:ascii="宋体" w:hAnsi="宋体" w:eastAsia="宋体" w:cs="宋体"/>
          <w:b w:val="0"/>
          <w:i w:val="0"/>
          <w:spacing w:val="0"/>
          <w:sz w:val="24"/>
        </w:rPr>
        <w:t>：</w:t>
      </w:r>
    </w:p>
    <w:p w14:paraId="5A6F9357">
      <w:pPr>
        <w:pageBreakBefore w:val="0"/>
        <w:numPr>
          <w:ilvl w:val="1"/>
          <w:numId w:val="92"/>
        </w:numPr>
        <w:wordWrap/>
        <w:spacing w:before="160" w:after="0"/>
        <w:ind w:left="880" w:right="0" w:hanging="440"/>
        <w:jc w:val="left"/>
        <w:textAlignment w:val="auto"/>
        <w:rPr>
          <w:sz w:val="24"/>
        </w:rPr>
      </w:pPr>
      <w:r>
        <w:rPr>
          <w:rFonts w:ascii="宋体" w:hAnsi="宋体" w:eastAsia="宋体" w:cs="宋体"/>
          <w:b w:val="0"/>
          <w:i w:val="0"/>
          <w:spacing w:val="0"/>
          <w:sz w:val="24"/>
        </w:rPr>
        <w:t>获取专业认证，建立行业认可的专业形象</w:t>
      </w:r>
    </w:p>
    <w:p w14:paraId="48585685">
      <w:pPr>
        <w:pageBreakBefore w:val="0"/>
        <w:numPr>
          <w:ilvl w:val="1"/>
          <w:numId w:val="92"/>
        </w:numPr>
        <w:wordWrap/>
        <w:spacing w:before="160" w:after="0"/>
        <w:ind w:left="880" w:right="0" w:hanging="440"/>
        <w:jc w:val="left"/>
        <w:textAlignment w:val="auto"/>
        <w:rPr>
          <w:sz w:val="24"/>
        </w:rPr>
      </w:pPr>
      <w:r>
        <w:rPr>
          <w:rFonts w:ascii="宋体" w:hAnsi="宋体" w:eastAsia="宋体" w:cs="宋体"/>
          <w:b w:val="0"/>
          <w:i w:val="0"/>
          <w:spacing w:val="0"/>
          <w:sz w:val="24"/>
        </w:rPr>
        <w:t>持续学习新技术和方法，提升专业能力</w:t>
      </w:r>
    </w:p>
    <w:p w14:paraId="497B2E98">
      <w:pPr>
        <w:pageBreakBefore w:val="0"/>
        <w:numPr>
          <w:ilvl w:val="1"/>
          <w:numId w:val="92"/>
        </w:numPr>
        <w:wordWrap/>
        <w:spacing w:before="160" w:after="0"/>
        <w:ind w:left="880" w:right="0" w:hanging="440"/>
        <w:jc w:val="left"/>
        <w:textAlignment w:val="auto"/>
        <w:rPr>
          <w:sz w:val="24"/>
        </w:rPr>
      </w:pPr>
      <w:r>
        <w:rPr>
          <w:rFonts w:ascii="宋体" w:hAnsi="宋体" w:eastAsia="宋体" w:cs="宋体"/>
          <w:b w:val="0"/>
          <w:i w:val="0"/>
          <w:spacing w:val="0"/>
          <w:sz w:val="24"/>
        </w:rPr>
        <w:t>优化维护管理流程，提高效率和质量</w:t>
      </w:r>
    </w:p>
    <w:p w14:paraId="7FA49F03">
      <w:pPr>
        <w:pageBreakBefore w:val="0"/>
        <w:numPr>
          <w:ilvl w:val="1"/>
          <w:numId w:val="92"/>
        </w:numPr>
        <w:wordWrap/>
        <w:spacing w:before="160" w:after="0"/>
        <w:ind w:left="880" w:right="0" w:hanging="440"/>
        <w:jc w:val="left"/>
        <w:textAlignment w:val="auto"/>
        <w:rPr>
          <w:sz w:val="24"/>
        </w:rPr>
      </w:pPr>
      <w:r>
        <w:rPr>
          <w:rFonts w:ascii="宋体" w:hAnsi="宋体" w:eastAsia="宋体" w:cs="宋体"/>
          <w:b w:val="0"/>
          <w:i w:val="0"/>
          <w:spacing w:val="0"/>
          <w:sz w:val="24"/>
        </w:rPr>
        <w:t>开发差异化服务和产品，避免同质化竞争</w:t>
      </w:r>
    </w:p>
    <w:p w14:paraId="7D4A8B91">
      <w:pPr>
        <w:pageBreakBefore w:val="0"/>
        <w:numPr>
          <w:ilvl w:val="0"/>
          <w:numId w:val="90"/>
        </w:numPr>
        <w:wordWrap/>
        <w:spacing w:before="160" w:after="0"/>
        <w:ind w:left="440" w:right="0" w:hanging="440"/>
        <w:jc w:val="left"/>
        <w:textAlignment w:val="auto"/>
        <w:rPr>
          <w:sz w:val="24"/>
        </w:rPr>
      </w:pPr>
      <w:r>
        <w:rPr>
          <w:rFonts w:ascii="宋体" w:hAnsi="宋体" w:eastAsia="宋体" w:cs="宋体"/>
          <w:b/>
          <w:i w:val="0"/>
          <w:spacing w:val="0"/>
          <w:sz w:val="24"/>
        </w:rPr>
        <w:t>针对政策制定者</w:t>
      </w:r>
      <w:r>
        <w:rPr>
          <w:rFonts w:ascii="宋体" w:hAnsi="宋体" w:eastAsia="宋体" w:cs="宋体"/>
          <w:b w:val="0"/>
          <w:i w:val="0"/>
          <w:spacing w:val="0"/>
          <w:sz w:val="24"/>
        </w:rPr>
        <w:t>：</w:t>
      </w:r>
    </w:p>
    <w:p w14:paraId="5117C340">
      <w:pPr>
        <w:pageBreakBefore w:val="0"/>
        <w:numPr>
          <w:ilvl w:val="1"/>
          <w:numId w:val="93"/>
        </w:numPr>
        <w:wordWrap/>
        <w:spacing w:before="160" w:after="0"/>
        <w:ind w:left="880" w:right="0" w:hanging="440"/>
        <w:jc w:val="left"/>
        <w:textAlignment w:val="auto"/>
        <w:rPr>
          <w:sz w:val="24"/>
        </w:rPr>
      </w:pPr>
      <w:r>
        <w:rPr>
          <w:rFonts w:ascii="宋体" w:hAnsi="宋体" w:eastAsia="宋体" w:cs="宋体"/>
          <w:b w:val="0"/>
          <w:i w:val="0"/>
          <w:spacing w:val="0"/>
          <w:sz w:val="24"/>
        </w:rPr>
        <w:t>制定支持环保技术和材料的政策，推动行业绿色化发展</w:t>
      </w:r>
    </w:p>
    <w:p w14:paraId="0AEC615F">
      <w:pPr>
        <w:pageBreakBefore w:val="0"/>
        <w:numPr>
          <w:ilvl w:val="1"/>
          <w:numId w:val="93"/>
        </w:numPr>
        <w:wordWrap/>
        <w:spacing w:before="160" w:after="0"/>
        <w:ind w:left="880" w:right="0" w:hanging="440"/>
        <w:jc w:val="left"/>
        <w:textAlignment w:val="auto"/>
        <w:rPr>
          <w:sz w:val="24"/>
        </w:rPr>
      </w:pPr>
      <w:r>
        <w:rPr>
          <w:rFonts w:ascii="宋体" w:hAnsi="宋体" w:eastAsia="宋体" w:cs="宋体"/>
          <w:b w:val="0"/>
          <w:i w:val="0"/>
          <w:spacing w:val="0"/>
          <w:sz w:val="24"/>
        </w:rPr>
        <w:t>鼓励教育应用，将水族造景纳入教育体系</w:t>
      </w:r>
    </w:p>
    <w:p w14:paraId="71B791AB">
      <w:pPr>
        <w:pageBreakBefore w:val="0"/>
        <w:numPr>
          <w:ilvl w:val="1"/>
          <w:numId w:val="93"/>
        </w:numPr>
        <w:wordWrap/>
        <w:spacing w:before="160" w:after="0"/>
        <w:ind w:left="880" w:right="0" w:hanging="440"/>
        <w:jc w:val="left"/>
        <w:textAlignment w:val="auto"/>
        <w:rPr>
          <w:sz w:val="24"/>
        </w:rPr>
      </w:pPr>
      <w:r>
        <w:rPr>
          <w:rFonts w:ascii="宋体" w:hAnsi="宋体" w:eastAsia="宋体" w:cs="宋体"/>
          <w:b w:val="0"/>
          <w:i w:val="0"/>
          <w:spacing w:val="0"/>
          <w:sz w:val="24"/>
        </w:rPr>
        <w:t>支持技术创新和人才培养，提升行业国际竞争力</w:t>
      </w:r>
    </w:p>
    <w:p w14:paraId="507E5E66">
      <w:pPr>
        <w:pageBreakBefore w:val="0"/>
        <w:wordWrap/>
        <w:spacing w:before="160" w:after="0"/>
        <w:ind w:left="0" w:right="0"/>
        <w:jc w:val="left"/>
        <w:textAlignment w:val="auto"/>
        <w:rPr>
          <w:sz w:val="24"/>
        </w:rPr>
      </w:pPr>
      <w:r>
        <w:rPr>
          <w:rFonts w:ascii="宋体" w:hAnsi="宋体" w:eastAsia="宋体" w:cs="宋体"/>
          <w:b/>
          <w:i w:val="0"/>
          <w:spacing w:val="0"/>
          <w:sz w:val="24"/>
        </w:rPr>
        <w:t>水族造景的未来展望</w:t>
      </w:r>
      <w:r>
        <w:rPr>
          <w:rFonts w:ascii="宋体" w:hAnsi="宋体" w:eastAsia="宋体" w:cs="宋体"/>
          <w:b w:val="0"/>
          <w:i w:val="0"/>
          <w:spacing w:val="0"/>
          <w:sz w:val="24"/>
        </w:rPr>
        <w:t>：</w:t>
      </w:r>
    </w:p>
    <w:p w14:paraId="1EB3635B">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水族造景的未来发展将呈现以下趋势：</w:t>
      </w:r>
    </w:p>
    <w:p w14:paraId="24C36E67">
      <w:pPr>
        <w:pageBreakBefore w:val="0"/>
        <w:numPr>
          <w:ilvl w:val="0"/>
          <w:numId w:val="94"/>
        </w:numPr>
        <w:wordWrap/>
        <w:spacing w:before="160" w:after="0"/>
        <w:ind w:left="440" w:right="0" w:hanging="440"/>
        <w:jc w:val="left"/>
        <w:textAlignment w:val="auto"/>
        <w:rPr>
          <w:sz w:val="24"/>
        </w:rPr>
      </w:pPr>
      <w:r>
        <w:rPr>
          <w:rFonts w:ascii="宋体" w:hAnsi="宋体" w:eastAsia="宋体" w:cs="宋体"/>
          <w:b/>
          <w:i w:val="0"/>
          <w:spacing w:val="0"/>
          <w:sz w:val="24"/>
        </w:rPr>
        <w:t>智能化与自动化</w:t>
      </w:r>
      <w:r>
        <w:rPr>
          <w:rFonts w:ascii="宋体" w:hAnsi="宋体" w:eastAsia="宋体" w:cs="宋体"/>
          <w:b w:val="0"/>
          <w:i w:val="0"/>
          <w:spacing w:val="0"/>
          <w:sz w:val="24"/>
        </w:rPr>
        <w:t>：智能控制系统将更加普及和成熟，实现水质参数的自动监测和调整，降低人工干预需求。</w:t>
      </w:r>
    </w:p>
    <w:p w14:paraId="5B0AC5EE">
      <w:pPr>
        <w:pageBreakBefore w:val="0"/>
        <w:numPr>
          <w:ilvl w:val="0"/>
          <w:numId w:val="94"/>
        </w:numPr>
        <w:wordWrap/>
        <w:spacing w:before="160" w:after="0"/>
        <w:ind w:left="440" w:right="0" w:hanging="440"/>
        <w:jc w:val="left"/>
        <w:textAlignment w:val="auto"/>
        <w:rPr>
          <w:sz w:val="24"/>
        </w:rPr>
      </w:pPr>
      <w:r>
        <w:rPr>
          <w:rFonts w:ascii="宋体" w:hAnsi="宋体" w:eastAsia="宋体" w:cs="宋体"/>
          <w:b/>
          <w:i w:val="0"/>
          <w:spacing w:val="0"/>
          <w:sz w:val="24"/>
        </w:rPr>
        <w:t>生态可持续</w:t>
      </w:r>
      <w:r>
        <w:rPr>
          <w:rFonts w:ascii="宋体" w:hAnsi="宋体" w:eastAsia="宋体" w:cs="宋体"/>
          <w:b w:val="0"/>
          <w:i w:val="0"/>
          <w:spacing w:val="0"/>
          <w:sz w:val="24"/>
        </w:rPr>
        <w:t>：环保材料和节能技术将成为主流，减少对环境的影响，提升系统生态稳定性。</w:t>
      </w:r>
    </w:p>
    <w:p w14:paraId="07C5E18F">
      <w:pPr>
        <w:pageBreakBefore w:val="0"/>
        <w:numPr>
          <w:ilvl w:val="0"/>
          <w:numId w:val="94"/>
        </w:numPr>
        <w:wordWrap/>
        <w:spacing w:before="160" w:after="0"/>
        <w:ind w:left="440" w:right="0" w:hanging="440"/>
        <w:jc w:val="left"/>
        <w:textAlignment w:val="auto"/>
        <w:rPr>
          <w:sz w:val="24"/>
        </w:rPr>
      </w:pPr>
      <w:r>
        <w:rPr>
          <w:rFonts w:ascii="宋体" w:hAnsi="宋体" w:eastAsia="宋体" w:cs="宋体"/>
          <w:b/>
          <w:i w:val="0"/>
          <w:spacing w:val="0"/>
          <w:sz w:val="24"/>
        </w:rPr>
        <w:t>跨界融合</w:t>
      </w:r>
      <w:r>
        <w:rPr>
          <w:rFonts w:ascii="宋体" w:hAnsi="宋体" w:eastAsia="宋体" w:cs="宋体"/>
          <w:b w:val="0"/>
          <w:i w:val="0"/>
          <w:spacing w:val="0"/>
          <w:sz w:val="24"/>
        </w:rPr>
        <w:t>：水族造景将与艺术、科技和教育等领域的融合更加深入，拓展应用场景和价值。</w:t>
      </w:r>
    </w:p>
    <w:p w14:paraId="5EF55A33">
      <w:pPr>
        <w:pageBreakBefore w:val="0"/>
        <w:numPr>
          <w:ilvl w:val="0"/>
          <w:numId w:val="94"/>
        </w:numPr>
        <w:wordWrap/>
        <w:spacing w:before="160" w:after="0"/>
        <w:ind w:left="440" w:right="0" w:hanging="440"/>
        <w:jc w:val="left"/>
        <w:textAlignment w:val="auto"/>
        <w:rPr>
          <w:sz w:val="24"/>
        </w:rPr>
      </w:pPr>
      <w:r>
        <w:rPr>
          <w:rFonts w:ascii="宋体" w:hAnsi="宋体" w:eastAsia="宋体" w:cs="宋体"/>
          <w:b/>
          <w:i w:val="0"/>
          <w:spacing w:val="0"/>
          <w:sz w:val="24"/>
        </w:rPr>
        <w:t>专业化与标准化</w:t>
      </w:r>
      <w:r>
        <w:rPr>
          <w:rFonts w:ascii="宋体" w:hAnsi="宋体" w:eastAsia="宋体" w:cs="宋体"/>
          <w:b w:val="0"/>
          <w:i w:val="0"/>
          <w:spacing w:val="0"/>
          <w:sz w:val="24"/>
        </w:rPr>
        <w:t>：行业将向更加专业化和标准化方向发展，认证体系和操作规范将更加完善。</w:t>
      </w:r>
    </w:p>
    <w:p w14:paraId="172E9F84">
      <w:pPr>
        <w:pageBreakBefore w:val="0"/>
        <w:numPr>
          <w:ilvl w:val="0"/>
          <w:numId w:val="94"/>
        </w:numPr>
        <w:wordWrap/>
        <w:spacing w:before="160" w:after="0"/>
        <w:ind w:left="440" w:right="0" w:hanging="440"/>
        <w:jc w:val="left"/>
        <w:textAlignment w:val="auto"/>
        <w:rPr>
          <w:sz w:val="24"/>
        </w:rPr>
      </w:pPr>
      <w:r>
        <w:rPr>
          <w:rFonts w:ascii="宋体" w:hAnsi="宋体" w:eastAsia="宋体" w:cs="宋体"/>
          <w:b/>
          <w:i w:val="0"/>
          <w:spacing w:val="0"/>
          <w:sz w:val="24"/>
        </w:rPr>
        <w:t>本土化与国际化</w:t>
      </w:r>
      <w:r>
        <w:rPr>
          <w:rFonts w:ascii="宋体" w:hAnsi="宋体" w:eastAsia="宋体" w:cs="宋体"/>
          <w:b w:val="0"/>
          <w:i w:val="0"/>
          <w:spacing w:val="0"/>
          <w:sz w:val="24"/>
        </w:rPr>
        <w:t>：本土风格和文化将更加凸显，同时国际交流与合作将更加频繁，推动全球水族造景发展。</w:t>
      </w:r>
    </w:p>
    <w:p w14:paraId="269641D4">
      <w:pPr>
        <w:pageBreakBefore w:val="0"/>
        <w:wordWrap/>
        <w:spacing w:before="160" w:after="0"/>
        <w:ind w:left="0" w:right="0"/>
        <w:jc w:val="left"/>
        <w:textAlignment w:val="auto"/>
        <w:rPr>
          <w:sz w:val="24"/>
        </w:rPr>
      </w:pPr>
      <w:r>
        <w:rPr>
          <w:rFonts w:ascii="宋体" w:hAnsi="宋体" w:eastAsia="宋体" w:cs="宋体"/>
          <w:b/>
          <w:i w:val="0"/>
          <w:spacing w:val="0"/>
          <w:sz w:val="24"/>
        </w:rPr>
        <w:t>水族造景不仅是艺术创作，更是生态管理的科学实践</w:t>
      </w:r>
      <w:r>
        <w:rPr>
          <w:rFonts w:ascii="宋体" w:hAnsi="宋体" w:eastAsia="宋体" w:cs="宋体"/>
          <w:b w:val="0"/>
          <w:i w:val="0"/>
          <w:spacing w:val="0"/>
          <w:sz w:val="24"/>
        </w:rPr>
        <w:t>。通过科学的维护管理、技术创新和跨界融合，水族造景将实现从"观赏容器"到"生态艺术品"的转变，为城市居民提供更加美好的生活体验和更加丰富的生态教育价值。</w:t>
      </w:r>
    </w:p>
    <w:p w14:paraId="52B35E27">
      <w:pPr>
        <w:spacing w:line="240" w:lineRule="auto"/>
        <w:ind w:left="0" w:firstLine="0"/>
        <w:rPr>
          <w:rFonts w:hint="default" w:eastAsiaTheme="minorEastAsia"/>
          <w:lang w:val="en-US" w:eastAsia="zh-CN"/>
        </w:rPr>
      </w:pPr>
    </w:p>
    <w:p w14:paraId="43B3BFF3">
      <w:pPr>
        <w:spacing w:line="240" w:lineRule="auto"/>
        <w:ind w:left="0" w:firstLine="0"/>
        <w:rPr>
          <w:rFonts w:hint="default" w:eastAsiaTheme="minorEastAsia"/>
          <w:lang w:val="en-US" w:eastAsia="zh-CN"/>
        </w:rPr>
      </w:pPr>
    </w:p>
    <w:p w14:paraId="3BA10C5A">
      <w:pPr>
        <w:pageBreakBefore w:val="0"/>
        <w:wordWrap/>
        <w:spacing w:before="160" w:after="0"/>
        <w:ind w:left="0" w:right="0"/>
        <w:jc w:val="left"/>
        <w:textAlignment w:val="auto"/>
        <w:rPr>
          <w:sz w:val="36"/>
        </w:rPr>
      </w:pPr>
      <w:r>
        <w:rPr>
          <w:rFonts w:ascii="宋体" w:hAnsi="宋体" w:eastAsia="宋体" w:cs="宋体"/>
          <w:b/>
          <w:i w:val="0"/>
          <w:spacing w:val="0"/>
          <w:sz w:val="36"/>
        </w:rPr>
        <w:t>9. 水族造景赛事</w:t>
      </w:r>
    </w:p>
    <w:p w14:paraId="611868A2">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赛事已成为连接理论与实践、激发创新思维、培养专业人才的重要平台。从国际顶级赛事到国内高校联赛，这些比赛不仅展示了当代青年在水族造景领域的创造力和专业素养，更成为推动水产类专业教育改革、促进产学研融合的关键力量。</w:t>
      </w:r>
      <w:r>
        <w:rPr>
          <w:rFonts w:ascii="宋体" w:hAnsi="宋体" w:eastAsia="宋体" w:cs="宋体"/>
          <w:b/>
          <w:i w:val="0"/>
          <w:spacing w:val="0"/>
          <w:sz w:val="24"/>
        </w:rPr>
        <w:t>水族造景赛事将艺术美学与生态科学完美结合，通过"以赛促学、以赛促教、以赛促创"的模式，为水产类专业学生提供了展示才华、提升技能、积累经验的绝佳舞台</w:t>
      </w:r>
      <w:r>
        <w:rPr>
          <w:rFonts w:ascii="宋体" w:hAnsi="宋体" w:eastAsia="宋体" w:cs="宋体"/>
          <w:b w:val="0"/>
          <w:i w:val="0"/>
          <w:spacing w:val="0"/>
          <w:sz w:val="24"/>
        </w:rPr>
        <w:t>。在"自然·共生"等主题引领下，参赛作品既彰显了生态系统的稳定性与可持续性，又体现了艺术设计的创意与美感，为水产行业注入了青春活力与创新动力。</w:t>
      </w:r>
    </w:p>
    <w:p w14:paraId="05FB6A74">
      <w:pPr>
        <w:pageBreakBefore w:val="0"/>
        <w:wordWrap/>
        <w:spacing w:before="160" w:after="0"/>
        <w:ind w:left="0" w:right="0"/>
        <w:jc w:val="left"/>
        <w:textAlignment w:val="auto"/>
        <w:rPr>
          <w:sz w:val="28"/>
        </w:rPr>
      </w:pPr>
      <w:r>
        <w:rPr>
          <w:rFonts w:ascii="宋体" w:hAnsi="宋体" w:eastAsia="宋体" w:cs="宋体"/>
          <w:b/>
          <w:i w:val="0"/>
          <w:spacing w:val="0"/>
          <w:sz w:val="28"/>
        </w:rPr>
        <w:t>9.1 水族造景赛事概述</w:t>
      </w:r>
    </w:p>
    <w:p w14:paraId="6BA7BF2B">
      <w:pPr>
        <w:pageBreakBefore w:val="0"/>
        <w:wordWrap/>
        <w:spacing w:before="160" w:after="0"/>
        <w:ind w:left="0" w:right="0"/>
        <w:jc w:val="left"/>
        <w:textAlignment w:val="auto"/>
        <w:rPr>
          <w:sz w:val="24"/>
        </w:rPr>
      </w:pPr>
      <w:r>
        <w:rPr>
          <w:rFonts w:ascii="宋体" w:hAnsi="宋体" w:eastAsia="宋体" w:cs="宋体"/>
          <w:b/>
          <w:i w:val="0"/>
          <w:spacing w:val="0"/>
          <w:sz w:val="24"/>
        </w:rPr>
        <w:t>9.1.1 赛事的定义与分类</w:t>
      </w:r>
    </w:p>
    <w:p w14:paraId="6C72E015">
      <w:pPr>
        <w:pageBreakBefore w:val="0"/>
        <w:wordWrap/>
        <w:spacing w:before="160" w:after="0"/>
        <w:ind w:left="0" w:right="0" w:firstLine="480" w:firstLineChars="200"/>
        <w:jc w:val="left"/>
        <w:textAlignment w:val="auto"/>
        <w:rPr>
          <w:sz w:val="24"/>
        </w:rPr>
      </w:pPr>
      <w:r>
        <w:rPr>
          <w:rFonts w:ascii="宋体" w:hAnsi="宋体" w:eastAsia="宋体" w:cs="宋体"/>
          <w:b w:val="0"/>
          <w:i w:val="0"/>
          <w:spacing w:val="0"/>
          <w:sz w:val="24"/>
        </w:rPr>
        <w:t>水族造景赛事是以水族箱为载体，通过特定主题要求，将水草、沉木、石材等自然素材与水生生物合理配置，构建兼具艺术美感与生态稳定性的水族景观作品的比赛。这类赛事不仅考验参赛者的美学素养与设计能力，更要求其具备扎实的水产学、生态学、环境工程学等专业知识，能够维持水族箱内生态系统的长期稳定与健康。</w:t>
      </w:r>
    </w:p>
    <w:p w14:paraId="57C27501">
      <w:pPr>
        <w:pageBreakBefore w:val="0"/>
        <w:wordWrap/>
        <w:spacing w:before="160" w:after="0"/>
        <w:ind w:left="0" w:right="0"/>
        <w:jc w:val="left"/>
        <w:textAlignment w:val="auto"/>
        <w:rPr>
          <w:rFonts w:ascii="宋体" w:hAnsi="宋体" w:eastAsia="宋体" w:cs="宋体"/>
          <w:b w:val="0"/>
          <w:i w:val="0"/>
          <w:spacing w:val="0"/>
          <w:sz w:val="24"/>
        </w:rPr>
      </w:pPr>
    </w:p>
    <w:p w14:paraId="2D59324E">
      <w:pPr>
        <w:pageBreakBefore w:val="0"/>
        <w:wordWrap/>
        <w:spacing w:before="160" w:after="0"/>
        <w:ind w:left="0" w:right="0"/>
        <w:jc w:val="left"/>
        <w:textAlignment w:val="auto"/>
        <w:rPr>
          <w:sz w:val="24"/>
        </w:rPr>
      </w:pPr>
      <w:r>
        <w:rPr>
          <w:rFonts w:ascii="宋体" w:hAnsi="宋体" w:eastAsia="宋体" w:cs="宋体"/>
          <w:b w:val="0"/>
          <w:i w:val="0"/>
          <w:spacing w:val="0"/>
          <w:sz w:val="24"/>
        </w:rPr>
        <w:t>从全球范围来看，水族造景赛事主要分为以下几类：</w:t>
      </w:r>
    </w:p>
    <w:p w14:paraId="55BA6B3B">
      <w:pPr>
        <w:pageBreakBefore w:val="0"/>
        <w:numPr>
          <w:numId w:val="0"/>
        </w:numPr>
        <w:wordWrap/>
        <w:spacing w:before="160" w:after="0" w:line="360" w:lineRule="auto"/>
        <w:ind w:leftChars="0" w:right="0" w:rightChars="0"/>
        <w:jc w:val="left"/>
        <w:textAlignment w:val="auto"/>
        <w:rPr>
          <w:sz w:val="24"/>
        </w:rPr>
      </w:pPr>
      <w:r>
        <w:rPr>
          <w:rFonts w:ascii="宋体" w:hAnsi="宋体" w:eastAsia="宋体" w:cs="宋体"/>
          <w:b/>
          <w:i w:val="0"/>
          <w:spacing w:val="0"/>
          <w:sz w:val="24"/>
          <w:highlight w:val="yellow"/>
        </w:rPr>
        <w:t>国际赛事</w:t>
      </w:r>
      <w:r>
        <w:rPr>
          <w:rFonts w:ascii="宋体" w:hAnsi="宋体" w:eastAsia="宋体" w:cs="宋体"/>
          <w:b w:val="0"/>
          <w:i w:val="0"/>
          <w:spacing w:val="0"/>
          <w:sz w:val="24"/>
        </w:rPr>
        <w:t>：如ADA世界水族造景大赛、IAPLC国际水草造景大赛等。这些赛事具有全球影响力，参赛者来自世界各地，评审标准严格，注重作品的生态还原度与艺术表现力。</w:t>
      </w:r>
    </w:p>
    <w:p w14:paraId="1A18943A">
      <w:pPr>
        <w:pageBreakBefore w:val="0"/>
        <w:numPr>
          <w:numId w:val="0"/>
        </w:numPr>
        <w:wordWrap/>
        <w:spacing w:before="160" w:after="0" w:line="360" w:lineRule="auto"/>
        <w:ind w:leftChars="0" w:right="0" w:rightChars="0"/>
        <w:jc w:val="left"/>
        <w:textAlignment w:val="auto"/>
        <w:rPr>
          <w:sz w:val="24"/>
        </w:rPr>
      </w:pPr>
      <w:r>
        <w:rPr>
          <w:rFonts w:ascii="宋体" w:hAnsi="宋体" w:eastAsia="宋体" w:cs="宋体"/>
          <w:b/>
          <w:i w:val="0"/>
          <w:spacing w:val="0"/>
          <w:sz w:val="24"/>
          <w:highlight w:val="yellow"/>
        </w:rPr>
        <w:t>国内赛事</w:t>
      </w:r>
      <w:r>
        <w:rPr>
          <w:rFonts w:ascii="宋体" w:hAnsi="宋体" w:eastAsia="宋体" w:cs="宋体"/>
          <w:b w:val="0"/>
          <w:i w:val="0"/>
          <w:spacing w:val="0"/>
          <w:sz w:val="24"/>
        </w:rPr>
        <w:t>：如全国大学生水族箱造景技能大赛、长城杯中国原生造景大赛等。这些赛事在中国国内具有广泛影响力，参赛对象主要是中国高校学生，主题贴近中国文化与生态特色，评审标准兼顾专业性与创新性。</w:t>
      </w:r>
    </w:p>
    <w:p w14:paraId="2A253ABC">
      <w:pPr>
        <w:pageBreakBefore w:val="0"/>
        <w:numPr>
          <w:numId w:val="0"/>
        </w:numPr>
        <w:wordWrap/>
        <w:spacing w:before="160" w:after="0" w:line="360" w:lineRule="auto"/>
        <w:ind w:leftChars="0" w:right="0" w:rightChars="0"/>
        <w:jc w:val="left"/>
        <w:textAlignment w:val="auto"/>
        <w:rPr>
          <w:sz w:val="24"/>
        </w:rPr>
      </w:pPr>
      <w:r>
        <w:rPr>
          <w:rFonts w:ascii="宋体" w:hAnsi="宋体" w:eastAsia="宋体" w:cs="宋体"/>
          <w:b/>
          <w:i w:val="0"/>
          <w:spacing w:val="0"/>
          <w:sz w:val="24"/>
          <w:highlight w:val="yellow"/>
        </w:rPr>
        <w:t>高校自主赛事与区域性比赛</w:t>
      </w:r>
      <w:r>
        <w:rPr>
          <w:rFonts w:ascii="宋体" w:hAnsi="宋体" w:eastAsia="宋体" w:cs="宋体"/>
          <w:b w:val="0"/>
          <w:i w:val="0"/>
          <w:spacing w:val="0"/>
          <w:sz w:val="24"/>
        </w:rPr>
        <w:t>：各大高校为选拔优秀学生参加全国性赛事而举办的校级选拔赛，以及由地方水产技术推广站或行业协会主办的区域性水族造景比赛。这些赛事为学生提供了初步的实践机会，也是培养水族造景人才的基础平台。</w:t>
      </w:r>
    </w:p>
    <w:p w14:paraId="3399D0D5">
      <w:pPr>
        <w:pageBreakBefore w:val="0"/>
        <w:wordWrap/>
        <w:spacing w:before="160" w:after="0"/>
        <w:ind w:left="0" w:right="0"/>
        <w:jc w:val="left"/>
        <w:textAlignment w:val="auto"/>
        <w:rPr>
          <w:rFonts w:ascii="宋体" w:hAnsi="宋体" w:eastAsia="宋体" w:cs="宋体"/>
          <w:b w:val="0"/>
          <w:i w:val="0"/>
          <w:spacing w:val="0"/>
          <w:sz w:val="24"/>
        </w:rPr>
      </w:pPr>
    </w:p>
    <w:p w14:paraId="6215A466">
      <w:pPr>
        <w:pageBreakBefore w:val="0"/>
        <w:wordWrap/>
        <w:spacing w:before="160" w:after="0"/>
        <w:ind w:left="0" w:right="0"/>
        <w:jc w:val="left"/>
        <w:textAlignment w:val="auto"/>
        <w:rPr>
          <w:sz w:val="24"/>
        </w:rPr>
      </w:pPr>
      <w:r>
        <w:rPr>
          <w:rFonts w:ascii="宋体" w:hAnsi="宋体" w:eastAsia="宋体" w:cs="宋体"/>
          <w:b w:val="0"/>
          <w:i w:val="0"/>
          <w:spacing w:val="0"/>
          <w:sz w:val="24"/>
        </w:rPr>
        <w:t>其中，</w:t>
      </w:r>
      <w:r>
        <w:rPr>
          <w:rFonts w:ascii="宋体" w:hAnsi="宋体" w:eastAsia="宋体" w:cs="宋体"/>
          <w:b/>
          <w:i w:val="0"/>
          <w:spacing w:val="0"/>
          <w:sz w:val="24"/>
        </w:rPr>
        <w:t>全国大学生水族箱造景技能大赛是国内规模最大、影响力最广的大学生水族造景赛事，自2014年由华中农业大学首创以来，已成功举办了九届，成为水产类专业学生展示实践能力与创新思维的重要舞台</w:t>
      </w:r>
      <w:r>
        <w:rPr>
          <w:rFonts w:ascii="宋体" w:hAnsi="宋体" w:eastAsia="宋体" w:cs="宋体"/>
          <w:b w:val="0"/>
          <w:i w:val="0"/>
          <w:spacing w:val="0"/>
          <w:sz w:val="24"/>
        </w:rPr>
        <w:t>。该赛事以"自然·共生"为主题，强调"生态+艺术"的融合，每年9-11月举办，吸引了全国数十所高校的参与。此外，IAPLC国际水草造景大赛作为全球水族造景领域的顶级赛事，虽未明确设立学生组，但中国大学生通过校内选拔和区域赛，也能够参与这一国际舞台，与全球造景大师同台竞技。</w:t>
      </w:r>
    </w:p>
    <w:p w14:paraId="385DF7C7">
      <w:pPr>
        <w:pageBreakBefore w:val="0"/>
        <w:wordWrap/>
        <w:spacing w:before="160" w:after="0"/>
        <w:ind w:left="0" w:right="0"/>
        <w:jc w:val="left"/>
        <w:textAlignment w:val="auto"/>
        <w:rPr>
          <w:rFonts w:ascii="宋体" w:hAnsi="宋体" w:eastAsia="宋体" w:cs="宋体"/>
          <w:b/>
          <w:i w:val="0"/>
          <w:spacing w:val="0"/>
          <w:sz w:val="24"/>
        </w:rPr>
      </w:pPr>
    </w:p>
    <w:p w14:paraId="3FDE9D02">
      <w:pPr>
        <w:pageBreakBefore w:val="0"/>
        <w:wordWrap/>
        <w:spacing w:before="160" w:after="0"/>
        <w:ind w:left="0" w:right="0"/>
        <w:jc w:val="left"/>
        <w:textAlignment w:val="auto"/>
        <w:rPr>
          <w:sz w:val="24"/>
        </w:rPr>
      </w:pPr>
      <w:r>
        <w:rPr>
          <w:rFonts w:ascii="宋体" w:hAnsi="宋体" w:eastAsia="宋体" w:cs="宋体"/>
          <w:b/>
          <w:i w:val="0"/>
          <w:spacing w:val="0"/>
          <w:sz w:val="24"/>
        </w:rPr>
        <w:t>9.1.2 大学生参与赛事的意义</w:t>
      </w:r>
    </w:p>
    <w:p w14:paraId="73E42419">
      <w:pPr>
        <w:pageBreakBefore w:val="0"/>
        <w:wordWrap/>
        <w:spacing w:before="160" w:after="0"/>
        <w:ind w:left="0" w:right="0"/>
        <w:jc w:val="left"/>
        <w:textAlignment w:val="auto"/>
        <w:rPr>
          <w:sz w:val="24"/>
        </w:rPr>
      </w:pPr>
      <w:r>
        <w:rPr>
          <w:rFonts w:ascii="宋体" w:hAnsi="宋体" w:eastAsia="宋体" w:cs="宋体"/>
          <w:b w:val="0"/>
          <w:i w:val="0"/>
          <w:spacing w:val="0"/>
          <w:sz w:val="24"/>
        </w:rPr>
        <w:t>大学生参与水族造景赛事具有多方面的重要意义，不仅对学生个人能力提升、职业发展有积极影响，对高校教学改革和水产行业发展也具有深远价值。</w:t>
      </w:r>
    </w:p>
    <w:p w14:paraId="6B663F6D">
      <w:pPr>
        <w:pageBreakBefore w:val="0"/>
        <w:wordWrap/>
        <w:spacing w:before="160" w:after="0"/>
        <w:ind w:left="0" w:right="0" w:firstLine="482" w:firstLineChars="200"/>
        <w:jc w:val="left"/>
        <w:textAlignment w:val="auto"/>
        <w:rPr>
          <w:sz w:val="24"/>
        </w:rPr>
      </w:pPr>
      <w:r>
        <w:rPr>
          <w:rFonts w:ascii="宋体" w:hAnsi="宋体" w:eastAsia="宋体" w:cs="宋体"/>
          <w:b/>
          <w:i w:val="0"/>
          <w:spacing w:val="0"/>
          <w:sz w:val="24"/>
        </w:rPr>
        <w:t>首先，大学生参与水族造景赛事能够显著提升专业技能与创造力</w:t>
      </w:r>
      <w:r>
        <w:rPr>
          <w:rFonts w:ascii="宋体" w:hAnsi="宋体" w:eastAsia="宋体" w:cs="宋体"/>
          <w:b w:val="0"/>
          <w:i w:val="0"/>
          <w:spacing w:val="0"/>
          <w:sz w:val="24"/>
        </w:rPr>
        <w:t>。水族造景是一项高度实践性的技能，涉及水草种植、水质管理、生物混养等多个方面。通过赛事准备与实践，学生能够将课堂学习的理论知识转化为解决实际问题的能力，加深对水族科学与技术的理解。同时，赛事主题的开放性也激发了学生的创造力，促使他们突破传统思维，探索水族造景的新风格、新方法。</w:t>
      </w:r>
    </w:p>
    <w:p w14:paraId="1890349B">
      <w:pPr>
        <w:pageBreakBefore w:val="0"/>
        <w:wordWrap/>
        <w:spacing w:before="160" w:after="0"/>
        <w:ind w:left="0" w:right="0" w:firstLine="482" w:firstLineChars="200"/>
        <w:jc w:val="left"/>
        <w:textAlignment w:val="auto"/>
        <w:rPr>
          <w:sz w:val="24"/>
        </w:rPr>
      </w:pPr>
      <w:r>
        <w:rPr>
          <w:rFonts w:ascii="宋体" w:hAnsi="宋体" w:eastAsia="宋体" w:cs="宋体"/>
          <w:b/>
          <w:i w:val="0"/>
          <w:spacing w:val="0"/>
          <w:sz w:val="24"/>
        </w:rPr>
        <w:t>其次，赛事提供了实践与理论结合的平台</w:t>
      </w:r>
      <w:r>
        <w:rPr>
          <w:rFonts w:ascii="宋体" w:hAnsi="宋体" w:eastAsia="宋体" w:cs="宋体"/>
          <w:b w:val="0"/>
          <w:i w:val="0"/>
          <w:spacing w:val="0"/>
          <w:sz w:val="24"/>
        </w:rPr>
        <w:t>。传统的水产类专业教育往往偏重理论传授，而实践环节相对不足。水族造景赛事则通过真实的造景任务，让学生在有限时间内完成从设计构思到实体搭建的全过程，锻炼其解决复杂问题的能力。这种"做中学"的方式，使学生能够将水族箱生态系统管理、水生生物行为学、水质化学等多学科知识融会贯通，形成系统化的专业认知。</w:t>
      </w:r>
    </w:p>
    <w:p w14:paraId="092D8924">
      <w:pPr>
        <w:pageBreakBefore w:val="0"/>
        <w:wordWrap/>
        <w:spacing w:before="160" w:after="0"/>
        <w:ind w:left="0" w:right="0" w:firstLine="482" w:firstLineChars="200"/>
        <w:jc w:val="left"/>
        <w:textAlignment w:val="auto"/>
        <w:rPr>
          <w:sz w:val="24"/>
        </w:rPr>
      </w:pPr>
      <w:r>
        <w:rPr>
          <w:rFonts w:hint="eastAsia" w:ascii="宋体" w:hAnsi="宋体" w:eastAsia="宋体" w:cs="宋体"/>
          <w:b/>
          <w:i w:val="0"/>
          <w:spacing w:val="0"/>
          <w:sz w:val="24"/>
          <w:lang w:val="en-US" w:eastAsia="zh-CN"/>
        </w:rPr>
        <w:t>再者</w:t>
      </w:r>
      <w:r>
        <w:rPr>
          <w:rFonts w:ascii="宋体" w:hAnsi="宋体" w:eastAsia="宋体" w:cs="宋体"/>
          <w:b/>
          <w:i w:val="0"/>
          <w:spacing w:val="0"/>
          <w:sz w:val="24"/>
        </w:rPr>
        <w:t>，赛事为大学生职业发展提供了重要助力</w:t>
      </w:r>
      <w:r>
        <w:rPr>
          <w:rFonts w:ascii="宋体" w:hAnsi="宋体" w:eastAsia="宋体" w:cs="宋体"/>
          <w:b w:val="0"/>
          <w:i w:val="0"/>
          <w:spacing w:val="0"/>
          <w:sz w:val="24"/>
        </w:rPr>
        <w:t>。获奖作品不仅能够提升学生的专业声誉，为就业增加竞争力，还为创业提供了可能。近年来，越来越多的大学生将水族造景作品转化为商业项目，如扬州大学学生团队开发的"懒人鱼缸"已实现月销售额近万元，并获得了6项发明专利。此外，赛事还为学生提供了与行业专家、企业代表交流的机会，有助于积累人脉资源，了解行业前沿动态，为未来职业发展奠定基础。</w:t>
      </w:r>
    </w:p>
    <w:p w14:paraId="7EC3C652">
      <w:pPr>
        <w:pageBreakBefore w:val="0"/>
        <w:wordWrap/>
        <w:spacing w:before="160" w:after="0"/>
        <w:ind w:left="0" w:right="0" w:firstLine="482" w:firstLineChars="200"/>
        <w:jc w:val="left"/>
        <w:textAlignment w:val="auto"/>
        <w:rPr>
          <w:sz w:val="24"/>
        </w:rPr>
      </w:pPr>
      <w:r>
        <w:rPr>
          <w:rFonts w:ascii="宋体" w:hAnsi="宋体" w:eastAsia="宋体" w:cs="宋体"/>
          <w:b/>
          <w:i w:val="0"/>
          <w:spacing w:val="0"/>
          <w:sz w:val="24"/>
        </w:rPr>
        <w:t>最后，赛事对推动水族造景文化在青年群体中的传播具有重要意义</w:t>
      </w:r>
      <w:r>
        <w:rPr>
          <w:rFonts w:ascii="宋体" w:hAnsi="宋体" w:eastAsia="宋体" w:cs="宋体"/>
          <w:b w:val="0"/>
          <w:i w:val="0"/>
          <w:spacing w:val="0"/>
          <w:sz w:val="24"/>
        </w:rPr>
        <w:t>。水族造景不仅是一项技艺，更是一种文化，体现了人与自然和谐共生的理念。通过赛事的举办，越来越多的大学生了解并喜爱上水族造景，进而成为这一文化的传播者与创新者。同时，赛事作品往往融入中国文化元素，如"水墨江南"等主题，有助于传统文化的现代传承与创新表达。</w:t>
      </w:r>
    </w:p>
    <w:p w14:paraId="2CDF1ACD">
      <w:pPr>
        <w:pageBreakBefore w:val="0"/>
        <w:wordWrap/>
        <w:spacing w:before="160" w:after="0"/>
        <w:ind w:left="0" w:right="0"/>
        <w:jc w:val="left"/>
        <w:textAlignment w:val="auto"/>
        <w:rPr>
          <w:sz w:val="28"/>
        </w:rPr>
      </w:pPr>
      <w:r>
        <w:rPr>
          <w:rFonts w:ascii="宋体" w:hAnsi="宋体" w:eastAsia="宋体" w:cs="宋体"/>
          <w:b/>
          <w:i w:val="0"/>
          <w:spacing w:val="0"/>
          <w:sz w:val="28"/>
          <w:highlight w:val="yellow"/>
        </w:rPr>
        <w:t xml:space="preserve">9.2 </w:t>
      </w:r>
      <w:r>
        <w:rPr>
          <w:rFonts w:ascii="宋体" w:hAnsi="宋体" w:eastAsia="宋体" w:cs="宋体"/>
          <w:b/>
          <w:i w:val="0"/>
          <w:spacing w:val="0"/>
          <w:sz w:val="28"/>
        </w:rPr>
        <w:t>主流大学生水族造景赛事解析</w:t>
      </w:r>
    </w:p>
    <w:p w14:paraId="19897810">
      <w:pPr>
        <w:pageBreakBefore w:val="0"/>
        <w:wordWrap/>
        <w:spacing w:before="160" w:after="0"/>
        <w:ind w:left="0" w:right="0"/>
        <w:jc w:val="left"/>
        <w:textAlignment w:val="auto"/>
        <w:rPr>
          <w:sz w:val="24"/>
        </w:rPr>
      </w:pPr>
      <w:r>
        <w:rPr>
          <w:rFonts w:ascii="宋体" w:hAnsi="宋体" w:eastAsia="宋体" w:cs="宋体"/>
          <w:b/>
          <w:i w:val="0"/>
          <w:spacing w:val="0"/>
          <w:sz w:val="24"/>
        </w:rPr>
        <w:t>9.2.1 国际赛事案例分析</w:t>
      </w:r>
    </w:p>
    <w:p w14:paraId="7FA1C4E4">
      <w:pPr>
        <w:pageBreakBefore w:val="0"/>
        <w:wordWrap/>
        <w:spacing w:before="160" w:after="0"/>
        <w:ind w:left="0" w:right="0"/>
        <w:jc w:val="left"/>
        <w:textAlignment w:val="auto"/>
        <w:rPr>
          <w:sz w:val="24"/>
        </w:rPr>
      </w:pPr>
      <w:r>
        <w:rPr>
          <w:rFonts w:ascii="宋体" w:hAnsi="宋体" w:eastAsia="宋体" w:cs="宋体"/>
          <w:b/>
          <w:i w:val="0"/>
          <w:spacing w:val="0"/>
          <w:sz w:val="24"/>
          <w:highlight w:val="yellow"/>
        </w:rPr>
        <w:t>ADA世界水族造景大赛</w:t>
      </w:r>
      <w:r>
        <w:rPr>
          <w:rFonts w:ascii="宋体" w:hAnsi="宋体" w:eastAsia="宋体" w:cs="宋体"/>
          <w:b w:val="0"/>
          <w:i w:val="0"/>
          <w:spacing w:val="0"/>
          <w:sz w:val="24"/>
        </w:rPr>
        <w:t>是国际水族造景领域的顶级赛事，由日本ADA（天野尚水族设计）主办，其评审标准与造景理念对全球水族造景行业产生了深远影响。</w:t>
      </w:r>
    </w:p>
    <w:p w14:paraId="2869CA7B">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参赛资格</w:t>
      </w:r>
      <w:r>
        <w:rPr>
          <w:rFonts w:ascii="宋体" w:hAnsi="宋体" w:eastAsia="宋体" w:cs="宋体"/>
          <w:b w:val="0"/>
          <w:i w:val="0"/>
          <w:spacing w:val="0"/>
          <w:sz w:val="24"/>
        </w:rPr>
        <w:t>：ADA大赛主要面向全球水族造景师，虽未明确设立学生组，但大学生可通过校内选拔或区域赛获得参赛机会。近年来，中国选手在该赛事中表现优异，如2022年范哲敏凭借作品《林中溪》获得金赏奖（第二名），创中国选手在该赛事中的最佳成绩。</w:t>
      </w:r>
    </w:p>
    <w:p w14:paraId="45D16098">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作品主题与技术要求</w:t>
      </w:r>
      <w:r>
        <w:rPr>
          <w:rFonts w:ascii="宋体" w:hAnsi="宋体" w:eastAsia="宋体" w:cs="宋体"/>
          <w:b w:val="0"/>
          <w:i w:val="0"/>
          <w:spacing w:val="0"/>
          <w:sz w:val="24"/>
        </w:rPr>
        <w:t>：ADA大赛强调"自然水景"理念，要求作品模拟自然水域环境，注重水草与沉木的自然搭配，以及水族箱内生态系统的长期稳定性。参赛作品需在特定缸体尺寸内完成，通常分为自然风格、荷兰风格等不同流派。大赛对作品的生态平衡性要求极高，强调"将自然的生态系统以原始的尺寸进行再现"，即作品需能够长期维持健康状态，而非仅追求瞬间的视觉效果。</w:t>
      </w:r>
    </w:p>
    <w:p w14:paraId="70B551D0">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评审标准</w:t>
      </w:r>
      <w:r>
        <w:rPr>
          <w:rFonts w:ascii="宋体" w:hAnsi="宋体" w:eastAsia="宋体" w:cs="宋体"/>
          <w:b w:val="0"/>
          <w:i w:val="0"/>
          <w:spacing w:val="0"/>
          <w:sz w:val="24"/>
        </w:rPr>
        <w:t>：ADA大赛的评审标准主要包括设计美学、生态平衡和创新性三大维度。在设计美学方面，评审关注作品的构图、色彩搭配和视觉冲击力；在生态平衡方面，评审强调作品的自循环能力、水质稳定性和生物健康状态；在创新性方面，评审看重作品对传统造景手法的突破与创新。特别值得注意的是，ADA大赛评审高度关注作者对长期维护所使用的技能，而非仅仅关注作品的建成效果。若选用的植物或种植载体难以在水中长期存续，将被严格扣分。</w:t>
      </w:r>
    </w:p>
    <w:p w14:paraId="304C3C1D">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获奖作品对行业的影响</w:t>
      </w:r>
      <w:r>
        <w:rPr>
          <w:rFonts w:ascii="宋体" w:hAnsi="宋体" w:eastAsia="宋体" w:cs="宋体"/>
          <w:b w:val="0"/>
          <w:i w:val="0"/>
          <w:spacing w:val="0"/>
          <w:sz w:val="24"/>
        </w:rPr>
        <w:t>：ADA大赛的获奖作品往往引领全球水族造景潮流，其设计理念、技术方法和材料应用被广泛学习与模仿。例如，范哲敏的获奖作品《林中溪》通过沉木与水草的精心布局，营造出具有多层次空间感和生态协调性的溪流森林景观，其开放式设计手法和光线运用理念对国内水族造景行业产生了重要影响。此外，ADA大赛还促进了水族造景相关产业的发展，如水质调节剂、造景设备和观赏水族等领域的技术创新与市场拓展。</w:t>
      </w:r>
    </w:p>
    <w:p w14:paraId="742E39D4">
      <w:pPr>
        <w:pageBreakBefore w:val="0"/>
        <w:wordWrap/>
        <w:spacing w:before="160" w:after="0"/>
        <w:ind w:left="0" w:right="0"/>
        <w:jc w:val="left"/>
        <w:textAlignment w:val="auto"/>
        <w:rPr>
          <w:rFonts w:ascii="宋体" w:hAnsi="宋体" w:eastAsia="宋体" w:cs="宋体"/>
          <w:b/>
          <w:i w:val="0"/>
          <w:spacing w:val="0"/>
          <w:sz w:val="24"/>
        </w:rPr>
      </w:pPr>
    </w:p>
    <w:p w14:paraId="542D5F5F">
      <w:pPr>
        <w:pageBreakBefore w:val="0"/>
        <w:wordWrap/>
        <w:spacing w:before="160" w:after="0"/>
        <w:ind w:left="0" w:right="0"/>
        <w:jc w:val="left"/>
        <w:textAlignment w:val="auto"/>
        <w:rPr>
          <w:sz w:val="24"/>
        </w:rPr>
      </w:pPr>
      <w:r>
        <w:rPr>
          <w:rFonts w:ascii="宋体" w:hAnsi="宋体" w:eastAsia="宋体" w:cs="宋体"/>
          <w:b/>
          <w:i w:val="0"/>
          <w:spacing w:val="0"/>
          <w:sz w:val="24"/>
        </w:rPr>
        <w:t>9.2.2 国内赛事深度解析</w:t>
      </w:r>
    </w:p>
    <w:p w14:paraId="41322185">
      <w:pPr>
        <w:pageBreakBefore w:val="0"/>
        <w:wordWrap/>
        <w:spacing w:before="160" w:after="0"/>
        <w:ind w:left="0" w:right="0"/>
        <w:jc w:val="left"/>
        <w:textAlignment w:val="auto"/>
        <w:rPr>
          <w:sz w:val="24"/>
        </w:rPr>
      </w:pPr>
      <w:r>
        <w:rPr>
          <w:rFonts w:ascii="宋体" w:hAnsi="宋体" w:eastAsia="宋体" w:cs="宋体"/>
          <w:b/>
          <w:i w:val="0"/>
          <w:spacing w:val="0"/>
          <w:sz w:val="24"/>
          <w:highlight w:val="yellow"/>
        </w:rPr>
        <w:t>中国大学生水族造景设计大赛</w:t>
      </w:r>
      <w:r>
        <w:rPr>
          <w:rFonts w:ascii="宋体" w:hAnsi="宋体" w:eastAsia="宋体" w:cs="宋体"/>
          <w:b w:val="0"/>
          <w:i w:val="0"/>
          <w:spacing w:val="0"/>
          <w:sz w:val="24"/>
        </w:rPr>
        <w:t>（全国大学生水族箱造景技能大赛）是国内水产类专业最高水平的学科赛事，由教育部高等学校水产类教学指导委员会、教育部高等学校国家级实验教学示范中心联席会、全国水产技术推广总站和中国新农科水产联盟联合主办。</w:t>
      </w:r>
    </w:p>
    <w:p w14:paraId="3F973E9D">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赛事历史与规模</w:t>
      </w:r>
      <w:r>
        <w:rPr>
          <w:rFonts w:ascii="宋体" w:hAnsi="宋体" w:eastAsia="宋体" w:cs="宋体"/>
          <w:b w:val="0"/>
          <w:i w:val="0"/>
          <w:spacing w:val="0"/>
          <w:sz w:val="24"/>
        </w:rPr>
        <w:t>：该赛事自2014年由华中农业大学首创以来，已成功举办了九届，参赛高校数量从最初的几所发展到现在的全国80余所，参赛队伍超过200支，已成为水产类专业创办最早、举办时间最长、影响力最大的全国性赛事。2026年，第十届全国大学生水族箱造景技能大赛将在信阳农林学院举办，赛事将引入AI技术、产教融合等创新元素，进一步扩大赛事规模与影响力。</w:t>
      </w:r>
    </w:p>
    <w:p w14:paraId="1B643B37">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赛制与分组</w:t>
      </w:r>
      <w:r>
        <w:rPr>
          <w:rFonts w:ascii="宋体" w:hAnsi="宋体" w:eastAsia="宋体" w:cs="宋体"/>
          <w:b w:val="0"/>
          <w:i w:val="0"/>
          <w:spacing w:val="0"/>
          <w:sz w:val="24"/>
        </w:rPr>
        <w:t>：大赛分为初赛和决赛两个阶段，决赛根据造景缸大小和类型分为四个组别：大缸组（120cm×50cm×50cm，2-3人）、中缸组（90cm×45cm×45cm，1-2人）、小缸组（60cm×40cm×40cm，1人）和水陆缸组（35cm×35cm×35cm，1人）。各组别设特等奖、一等奖、二等奖、三等奖和优秀奖，特等奖作品将获得"优秀组织奖"。大赛以"自然·共生"为主题，强调"以赛为媒，以景会友，携手共进"的宗旨，推动水族科学与艺术的融合发展。</w:t>
      </w:r>
    </w:p>
    <w:p w14:paraId="67AD6A32">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校企合作与产学研结合模式</w:t>
      </w:r>
      <w:r>
        <w:rPr>
          <w:rFonts w:ascii="宋体" w:hAnsi="宋体" w:eastAsia="宋体" w:cs="宋体"/>
          <w:b w:val="0"/>
          <w:i w:val="0"/>
          <w:spacing w:val="0"/>
          <w:sz w:val="24"/>
        </w:rPr>
        <w:t>：近年来，大赛越来越注重校企合作与产学研融合。例如，2025年第八届大赛由华中农业大学承办，尼特利技术有限公司协办；2024年第九届大赛由西南大学承办，深圳市镭明士科技有限公司、广州市尼特利技术有限公司等企业提供技术支持。这种合作模式不仅为赛事提供了设备、材料和专业指导，还为学生作品的商业化转化提供了可能，如扬州大学学生团队将获奖作品转化为"懒人鱼缸"商业项目。</w:t>
      </w:r>
    </w:p>
    <w:p w14:paraId="4443568A">
      <w:pPr>
        <w:pageBreakBefore w:val="0"/>
        <w:wordWrap/>
        <w:spacing w:before="160" w:after="0" w:line="360" w:lineRule="auto"/>
        <w:ind w:left="0" w:right="0" w:firstLine="482" w:firstLineChars="200"/>
        <w:jc w:val="left"/>
        <w:textAlignment w:val="auto"/>
        <w:rPr>
          <w:sz w:val="24"/>
        </w:rPr>
      </w:pPr>
      <w:r>
        <w:rPr>
          <w:rFonts w:ascii="宋体" w:hAnsi="宋体" w:eastAsia="宋体" w:cs="宋体"/>
          <w:b/>
          <w:i w:val="0"/>
          <w:spacing w:val="0"/>
          <w:sz w:val="24"/>
        </w:rPr>
        <w:t>其他典型赛事</w:t>
      </w:r>
      <w:r>
        <w:rPr>
          <w:rFonts w:ascii="宋体" w:hAnsi="宋体" w:eastAsia="宋体" w:cs="宋体"/>
          <w:b w:val="0"/>
          <w:i w:val="0"/>
          <w:spacing w:val="0"/>
          <w:sz w:val="24"/>
        </w:rPr>
        <w:t>：除全国大学生水族箱造景技能大赛外，国内还有其他区域性或高校自主举办的水族造景赛事，如"长城杯中国原生造景大赛"、"利洋杯"水族箱造景技能大赛等。这些赛事通常规模较小，但主题鲜明，如"长城杯"强调原生生态系统的还原，要求作品严格匹配特定水域环境及其鱼类、水草等生物的自然栖息地。此外，一些高校还举办了结合创新创业的水族造景赛事，如集美大学的"美渔美育"水族箱造景技能大赛，将美育与创新创业教育融入水族造景实践。</w:t>
      </w:r>
    </w:p>
    <w:p w14:paraId="152BA33D">
      <w:pPr>
        <w:pageBreakBefore w:val="0"/>
        <w:wordWrap/>
        <w:spacing w:before="160" w:after="0"/>
        <w:ind w:left="0" w:right="0"/>
        <w:jc w:val="left"/>
        <w:textAlignment w:val="auto"/>
        <w:rPr>
          <w:rFonts w:ascii="宋体" w:hAnsi="宋体" w:eastAsia="宋体" w:cs="宋体"/>
          <w:b/>
          <w:i w:val="0"/>
          <w:spacing w:val="0"/>
          <w:sz w:val="24"/>
        </w:rPr>
      </w:pPr>
    </w:p>
    <w:p w14:paraId="2A99EE99">
      <w:pPr>
        <w:pageBreakBefore w:val="0"/>
        <w:wordWrap/>
        <w:spacing w:before="160" w:after="0"/>
        <w:ind w:left="0" w:right="0"/>
        <w:jc w:val="left"/>
        <w:textAlignment w:val="auto"/>
        <w:rPr>
          <w:sz w:val="24"/>
        </w:rPr>
      </w:pPr>
      <w:r>
        <w:rPr>
          <w:rFonts w:ascii="宋体" w:hAnsi="宋体" w:eastAsia="宋体" w:cs="宋体"/>
          <w:b/>
          <w:i w:val="0"/>
          <w:spacing w:val="0"/>
          <w:sz w:val="24"/>
        </w:rPr>
        <w:t>9.2.3 赛事对比与特点总结</w:t>
      </w:r>
    </w:p>
    <w:p w14:paraId="71263E00">
      <w:pPr>
        <w:pageBreakBefore w:val="0"/>
        <w:wordWrap/>
        <w:spacing w:before="160" w:after="0"/>
        <w:ind w:left="0" w:right="0"/>
        <w:jc w:val="left"/>
        <w:textAlignment w:val="auto"/>
        <w:rPr>
          <w:sz w:val="24"/>
        </w:rPr>
      </w:pPr>
      <w:r>
        <w:rPr>
          <w:rFonts w:ascii="宋体" w:hAnsi="宋体" w:eastAsia="宋体" w:cs="宋体"/>
          <w:b w:val="0"/>
          <w:i w:val="0"/>
          <w:spacing w:val="0"/>
          <w:sz w:val="24"/>
        </w:rPr>
        <w:t>国内外水族造景赛事在多个方面存在显著差异，同时也具有各自独特价值。</w:t>
      </w:r>
    </w:p>
    <w:p w14:paraId="5B752AF0">
      <w:pPr>
        <w:pageBreakBefore w:val="0"/>
        <w:wordWrap/>
        <w:spacing w:before="160" w:after="0"/>
        <w:ind w:left="0" w:right="0" w:firstLine="482" w:firstLineChars="200"/>
        <w:jc w:val="left"/>
        <w:textAlignment w:val="auto"/>
        <w:rPr>
          <w:sz w:val="24"/>
        </w:rPr>
      </w:pPr>
      <w:r>
        <w:rPr>
          <w:rFonts w:ascii="宋体" w:hAnsi="宋体" w:eastAsia="宋体" w:cs="宋体"/>
          <w:b/>
          <w:i w:val="0"/>
          <w:spacing w:val="0"/>
          <w:sz w:val="24"/>
        </w:rPr>
        <w:t>在评审标准方面</w:t>
      </w:r>
      <w:r>
        <w:rPr>
          <w:rFonts w:ascii="宋体" w:hAnsi="宋体" w:eastAsia="宋体" w:cs="宋体"/>
          <w:b w:val="0"/>
          <w:i w:val="0"/>
          <w:spacing w:val="0"/>
          <w:sz w:val="24"/>
        </w:rPr>
        <w:t>：国际赛事如ADA大赛更注重作品的生态平衡性与长期稳定性，强调"将鱼儿眼中熟悉的自然景观"以同等规格进行再现；而国内赛事如全国大学生水族箱造景技能大赛则在评审标准中增加了对设计思路、艺术表现和创意性的权重，通常设计思路占20%、艺术表现占30%、创意占30%、架构稳定性占20%。这反映了国内外水族造景行业发展的不同侧重点：国际赛事更强调生态还原与专业造景师的技能水平；国内赛事则更注重大学生的创新思维与艺术表现力。</w:t>
      </w:r>
    </w:p>
    <w:p w14:paraId="7ADA9860">
      <w:pPr>
        <w:pageBreakBefore w:val="0"/>
        <w:wordWrap/>
        <w:spacing w:before="160" w:after="0"/>
        <w:ind w:left="0" w:right="0" w:firstLine="482" w:firstLineChars="200"/>
        <w:jc w:val="left"/>
        <w:textAlignment w:val="auto"/>
        <w:rPr>
          <w:sz w:val="24"/>
        </w:rPr>
      </w:pPr>
      <w:r>
        <w:rPr>
          <w:rFonts w:ascii="宋体" w:hAnsi="宋体" w:eastAsia="宋体" w:cs="宋体"/>
          <w:b/>
          <w:i w:val="0"/>
          <w:spacing w:val="0"/>
          <w:sz w:val="24"/>
        </w:rPr>
        <w:t>在参赛门槛方面</w:t>
      </w:r>
      <w:r>
        <w:rPr>
          <w:rFonts w:ascii="宋体" w:hAnsi="宋体" w:eastAsia="宋体" w:cs="宋体"/>
          <w:b w:val="0"/>
          <w:i w:val="0"/>
          <w:spacing w:val="0"/>
          <w:sz w:val="24"/>
        </w:rPr>
        <w:t>：国际赛事通常要求较高的专业水平，参赛者多为职业造景师或具有丰富经验的爱好者；而国内大学生赛事则更注重学生的参与度与成长性，对参赛者的专业背景要求相对宽松，鼓励水产类、生物类、园林园艺类、设计类等相关专业学生跨学科组队参赛。例如，集美大学水族箱造景技能大赛允许水产类、生物类、园林园艺类、设计类等相关专业全日制在校本科生报名，并通过初赛（笔试）和决赛（实践）两个阶段筛选优秀作品。</w:t>
      </w:r>
    </w:p>
    <w:p w14:paraId="3A40209E">
      <w:pPr>
        <w:pageBreakBefore w:val="0"/>
        <w:wordWrap/>
        <w:spacing w:before="160" w:after="0"/>
        <w:ind w:left="0" w:right="0" w:firstLine="482" w:firstLineChars="200"/>
        <w:jc w:val="left"/>
        <w:textAlignment w:val="auto"/>
        <w:rPr>
          <w:sz w:val="24"/>
        </w:rPr>
      </w:pPr>
      <w:r>
        <w:rPr>
          <w:rFonts w:ascii="宋体" w:hAnsi="宋体" w:eastAsia="宋体" w:cs="宋体"/>
          <w:b/>
          <w:i w:val="0"/>
          <w:spacing w:val="0"/>
          <w:sz w:val="24"/>
        </w:rPr>
        <w:t>在资源支持方面</w:t>
      </w:r>
      <w:r>
        <w:rPr>
          <w:rFonts w:ascii="宋体" w:hAnsi="宋体" w:eastAsia="宋体" w:cs="宋体"/>
          <w:b w:val="0"/>
          <w:i w:val="0"/>
          <w:spacing w:val="0"/>
          <w:sz w:val="24"/>
        </w:rPr>
        <w:t>：国际赛事通常拥有更完善的产业支持体系，如ADA大赛与全球水族器材供应商建立了紧密的合作关系，为参赛者提供高品质的造景材料与设备；而国内赛事则更多依赖高校与企业的合作，如全国大学生水族箱造景技能大赛由华中农业大学、上海海洋大学、西南大学等高校轮流承办，尼特利技术有限公司等企业提供设备支持。近年来，随着国内水族产业的快速发展，赛事资源支持也在不断提升，如2025年第八届大赛已引入AI辅助设计、智能水质监测等先进技术。</w:t>
      </w:r>
    </w:p>
    <w:p w14:paraId="2160C397">
      <w:pPr>
        <w:pageBreakBefore w:val="0"/>
        <w:wordWrap/>
        <w:spacing w:before="160" w:after="0"/>
        <w:ind w:left="0" w:right="0"/>
        <w:jc w:val="left"/>
        <w:textAlignment w:val="auto"/>
        <w:rPr>
          <w:rFonts w:ascii="宋体" w:hAnsi="宋体" w:eastAsia="宋体" w:cs="宋体"/>
          <w:b/>
          <w:i w:val="0"/>
          <w:spacing w:val="0"/>
          <w:sz w:val="24"/>
        </w:rPr>
      </w:pPr>
    </w:p>
    <w:p w14:paraId="52688094">
      <w:pPr>
        <w:pageBreakBefore w:val="0"/>
        <w:wordWrap/>
        <w:spacing w:before="160" w:after="0"/>
        <w:ind w:left="0" w:right="0"/>
        <w:jc w:val="left"/>
        <w:textAlignment w:val="auto"/>
        <w:rPr>
          <w:sz w:val="24"/>
        </w:rPr>
      </w:pPr>
      <w:r>
        <w:rPr>
          <w:rFonts w:ascii="宋体" w:hAnsi="宋体" w:eastAsia="宋体" w:cs="宋体"/>
          <w:b/>
          <w:i w:val="0"/>
          <w:spacing w:val="0"/>
          <w:sz w:val="24"/>
        </w:rPr>
        <w:t>大学生水族造景赛事的独特价值主要体现在三个方面</w:t>
      </w:r>
      <w:r>
        <w:rPr>
          <w:rFonts w:ascii="宋体" w:hAnsi="宋体" w:eastAsia="宋体" w:cs="宋体"/>
          <w:b w:val="0"/>
          <w:i w:val="0"/>
          <w:spacing w:val="0"/>
          <w:sz w:val="24"/>
        </w:rPr>
        <w:t>：</w:t>
      </w:r>
    </w:p>
    <w:p w14:paraId="189F54A0">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鼓励跨学科合作</w:t>
      </w:r>
      <w:r>
        <w:rPr>
          <w:rFonts w:ascii="宋体" w:hAnsi="宋体" w:eastAsia="宋体" w:cs="宋体"/>
          <w:b w:val="0"/>
          <w:i w:val="0"/>
          <w:spacing w:val="0"/>
          <w:sz w:val="24"/>
        </w:rPr>
        <w:t>：大学生水族造景赛事打破了专业壁垒，鼓励水产、生物、设计、环境工程等不同专业学生组队参赛，促进了学科交叉融合。例如，安徽农业大学的获奖团队由水产养殖和水生动物医学专业学生组成，他们共同创作的作品《石破天惊》《溪谷秘境》等获得了二等奖和三等奖的优异成绩。</w:t>
      </w:r>
    </w:p>
    <w:p w14:paraId="2E3124DE">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支持初创项目</w:t>
      </w:r>
      <w:r>
        <w:rPr>
          <w:rFonts w:ascii="宋体" w:hAnsi="宋体" w:eastAsia="宋体" w:cs="宋体"/>
          <w:b w:val="0"/>
          <w:i w:val="0"/>
          <w:spacing w:val="0"/>
          <w:sz w:val="24"/>
        </w:rPr>
        <w:t>：大学生水族造景赛事为学生提供了将创意转化为实践的平台，许多获奖作品已成功商业化，如扬州大学学生团队的"懒人鱼缸"项目。赛事还为学生提供了专利申请、创业孵化等资源支持，助力学生创新创业。</w:t>
      </w:r>
    </w:p>
    <w:p w14:paraId="0707974F">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推动教学改革</w:t>
      </w:r>
      <w:r>
        <w:rPr>
          <w:rFonts w:ascii="宋体" w:hAnsi="宋体" w:eastAsia="宋体" w:cs="宋体"/>
          <w:b w:val="0"/>
          <w:i w:val="0"/>
          <w:spacing w:val="0"/>
          <w:sz w:val="24"/>
        </w:rPr>
        <w:t>：大学生水族造景赛事已成为高校教学改革的重要推动力，促使高校开设水族造景相关课程，如黑龙江生物科技职业学院建设的慕课"水族造景设计"，以及甘肃农业大学的"观赏水族养殖与景观设计美育实践系列活动"。同时，赛事还推动了高校实验教学条件的改善，如西南大学"利洋杯"水族箱造景技能大赛在水族专业实训基地（蠡园）举办。</w:t>
      </w:r>
    </w:p>
    <w:p w14:paraId="09FAF8D0">
      <w:pPr>
        <w:pageBreakBefore w:val="0"/>
        <w:wordWrap/>
        <w:spacing w:before="160" w:after="0"/>
        <w:ind w:left="0" w:right="0"/>
        <w:jc w:val="left"/>
        <w:textAlignment w:val="auto"/>
        <w:rPr>
          <w:sz w:val="28"/>
        </w:rPr>
      </w:pPr>
      <w:r>
        <w:rPr>
          <w:rFonts w:ascii="宋体" w:hAnsi="宋体" w:eastAsia="宋体" w:cs="宋体"/>
          <w:b/>
          <w:i w:val="0"/>
          <w:spacing w:val="0"/>
          <w:sz w:val="28"/>
        </w:rPr>
        <w:t>9.3 大学生参赛全流程指南</w:t>
      </w:r>
    </w:p>
    <w:p w14:paraId="614C66C8">
      <w:pPr>
        <w:pageBreakBefore w:val="0"/>
        <w:wordWrap/>
        <w:spacing w:before="160" w:after="0"/>
        <w:ind w:left="0" w:right="0"/>
        <w:jc w:val="left"/>
        <w:textAlignment w:val="auto"/>
        <w:rPr>
          <w:sz w:val="24"/>
        </w:rPr>
      </w:pPr>
      <w:r>
        <w:rPr>
          <w:rFonts w:ascii="宋体" w:hAnsi="宋体" w:eastAsia="宋体" w:cs="宋体"/>
          <w:b/>
          <w:i w:val="0"/>
          <w:spacing w:val="0"/>
          <w:sz w:val="24"/>
        </w:rPr>
        <w:t>9.3.1 赛前准备</w:t>
      </w:r>
    </w:p>
    <w:p w14:paraId="15E4F74C">
      <w:pPr>
        <w:pageBreakBefore w:val="0"/>
        <w:wordWrap/>
        <w:spacing w:before="160" w:after="0"/>
        <w:ind w:left="0" w:right="0"/>
        <w:jc w:val="left"/>
        <w:textAlignment w:val="auto"/>
        <w:rPr>
          <w:sz w:val="24"/>
        </w:rPr>
      </w:pPr>
      <w:r>
        <w:rPr>
          <w:rFonts w:ascii="宋体" w:hAnsi="宋体" w:eastAsia="宋体" w:cs="宋体"/>
          <w:b/>
          <w:i w:val="0"/>
          <w:spacing w:val="0"/>
          <w:sz w:val="24"/>
        </w:rPr>
        <w:t>组队与选题</w:t>
      </w:r>
      <w:r>
        <w:rPr>
          <w:rFonts w:ascii="宋体" w:hAnsi="宋体" w:eastAsia="宋体" w:cs="宋体"/>
          <w:b w:val="0"/>
          <w:i w:val="0"/>
          <w:spacing w:val="0"/>
          <w:sz w:val="24"/>
        </w:rPr>
        <w:t>：参赛前首要任务是组建一支能力互补的团队。对于全国大学生水族箱造景技能大赛，大缸组和中缸组通常需要2-3人组队，而小缸组和水陆缸组可个人参赛。</w:t>
      </w:r>
      <w:r>
        <w:rPr>
          <w:rFonts w:ascii="宋体" w:hAnsi="宋体" w:eastAsia="宋体" w:cs="宋体"/>
          <w:b/>
          <w:i w:val="0"/>
          <w:spacing w:val="0"/>
          <w:sz w:val="24"/>
        </w:rPr>
        <w:t>建议跨专业组队，如水产养殖专业学生负责生态参数计算与生物混养，设计艺术专业学生负责构图与美学设计，环境工程专业学生负责水处理系统设计</w:t>
      </w:r>
      <w:r>
        <w:rPr>
          <w:rFonts w:ascii="宋体" w:hAnsi="宋体" w:eastAsia="宋体" w:cs="宋体"/>
          <w:b w:val="0"/>
          <w:i w:val="0"/>
          <w:spacing w:val="0"/>
          <w:sz w:val="24"/>
        </w:rPr>
        <w:t>，形成多学科融合的创作团队。</w:t>
      </w:r>
    </w:p>
    <w:p w14:paraId="6B523560">
      <w:pPr>
        <w:pageBreakBefore w:val="0"/>
        <w:wordWrap/>
        <w:spacing w:before="160" w:after="0"/>
        <w:ind w:left="0" w:right="0"/>
        <w:jc w:val="left"/>
        <w:textAlignment w:val="auto"/>
        <w:rPr>
          <w:sz w:val="24"/>
        </w:rPr>
      </w:pPr>
      <w:r>
        <w:rPr>
          <w:rFonts w:ascii="宋体" w:hAnsi="宋体" w:eastAsia="宋体" w:cs="宋体"/>
          <w:b w:val="0"/>
          <w:i w:val="0"/>
          <w:spacing w:val="0"/>
          <w:sz w:val="24"/>
        </w:rPr>
        <w:t>主题选择是造景成功的关键第一步。建议选择具有明确自然或文化背景的主题，如"雨林重生"（生态修复主题）、"水墨江南"（文化融合主题）等，确保作品具有深度和故事性。主题选择应考虑以下因素：</w:t>
      </w:r>
    </w:p>
    <w:p w14:paraId="3C525F1A">
      <w:pPr>
        <w:pageBreakBefore w:val="0"/>
        <w:numPr>
          <w:ilvl w:val="0"/>
          <w:numId w:val="3"/>
        </w:numPr>
        <w:wordWrap/>
        <w:spacing w:before="160" w:after="0"/>
        <w:ind w:left="440" w:right="0" w:hanging="440"/>
        <w:jc w:val="left"/>
        <w:textAlignment w:val="auto"/>
        <w:rPr>
          <w:sz w:val="24"/>
        </w:rPr>
      </w:pPr>
      <w:r>
        <w:rPr>
          <w:rFonts w:ascii="宋体" w:hAnsi="宋体" w:eastAsia="宋体" w:cs="宋体"/>
          <w:b w:val="0"/>
          <w:i w:val="0"/>
          <w:spacing w:val="0"/>
          <w:sz w:val="24"/>
        </w:rPr>
        <w:t>与赛事主题的契合度（如全国大赛"自然·共生"主题）</w:t>
      </w:r>
    </w:p>
    <w:p w14:paraId="3F37EFE7">
      <w:pPr>
        <w:pageBreakBefore w:val="0"/>
        <w:numPr>
          <w:ilvl w:val="0"/>
          <w:numId w:val="3"/>
        </w:numPr>
        <w:wordWrap/>
        <w:spacing w:before="160" w:after="0"/>
        <w:ind w:left="440" w:right="0" w:hanging="440"/>
        <w:jc w:val="left"/>
        <w:textAlignment w:val="auto"/>
        <w:rPr>
          <w:sz w:val="24"/>
        </w:rPr>
      </w:pPr>
      <w:r>
        <w:rPr>
          <w:rFonts w:ascii="宋体" w:hAnsi="宋体" w:eastAsia="宋体" w:cs="宋体"/>
          <w:b w:val="0"/>
          <w:i w:val="0"/>
          <w:spacing w:val="0"/>
          <w:sz w:val="24"/>
        </w:rPr>
        <w:t>可实现的生态系统的稳定性与可持续性</w:t>
      </w:r>
    </w:p>
    <w:p w14:paraId="5EC7078D">
      <w:pPr>
        <w:pageBreakBefore w:val="0"/>
        <w:numPr>
          <w:ilvl w:val="0"/>
          <w:numId w:val="3"/>
        </w:numPr>
        <w:wordWrap/>
        <w:spacing w:before="160" w:after="0"/>
        <w:ind w:left="440" w:right="0" w:hanging="440"/>
        <w:jc w:val="left"/>
        <w:textAlignment w:val="auto"/>
        <w:rPr>
          <w:sz w:val="24"/>
        </w:rPr>
      </w:pPr>
      <w:r>
        <w:rPr>
          <w:rFonts w:ascii="宋体" w:hAnsi="宋体" w:eastAsia="宋体" w:cs="宋体"/>
          <w:b w:val="0"/>
          <w:i w:val="0"/>
          <w:spacing w:val="0"/>
          <w:sz w:val="24"/>
        </w:rPr>
        <w:t>设计素材的可获得性与成本效益</w:t>
      </w:r>
    </w:p>
    <w:p w14:paraId="22E8B3A8">
      <w:pPr>
        <w:pageBreakBefore w:val="0"/>
        <w:numPr>
          <w:ilvl w:val="0"/>
          <w:numId w:val="3"/>
        </w:numPr>
        <w:wordWrap/>
        <w:spacing w:before="160" w:after="0"/>
        <w:ind w:left="440" w:right="0" w:hanging="440"/>
        <w:jc w:val="left"/>
        <w:textAlignment w:val="auto"/>
        <w:rPr>
          <w:sz w:val="24"/>
        </w:rPr>
      </w:pPr>
      <w:r>
        <w:rPr>
          <w:rFonts w:ascii="宋体" w:hAnsi="宋体" w:eastAsia="宋体" w:cs="宋体"/>
          <w:b w:val="0"/>
          <w:i w:val="0"/>
          <w:spacing w:val="0"/>
          <w:sz w:val="24"/>
        </w:rPr>
        <w:t>团队成员的专业背景与兴趣点</w:t>
      </w:r>
    </w:p>
    <w:p w14:paraId="6A2E9C8E">
      <w:pPr>
        <w:pageBreakBefore w:val="0"/>
        <w:wordWrap/>
        <w:spacing w:before="160" w:after="0"/>
        <w:ind w:left="0" w:right="0"/>
        <w:jc w:val="left"/>
        <w:textAlignment w:val="auto"/>
        <w:rPr>
          <w:sz w:val="24"/>
        </w:rPr>
      </w:pPr>
      <w:r>
        <w:rPr>
          <w:rFonts w:ascii="宋体" w:hAnsi="宋体" w:eastAsia="宋体" w:cs="宋体"/>
          <w:b/>
          <w:i w:val="0"/>
          <w:spacing w:val="0"/>
          <w:sz w:val="24"/>
        </w:rPr>
        <w:t>方案设计</w:t>
      </w:r>
      <w:r>
        <w:rPr>
          <w:rFonts w:ascii="宋体" w:hAnsi="宋体" w:eastAsia="宋体" w:cs="宋体"/>
          <w:b w:val="0"/>
          <w:i w:val="0"/>
          <w:spacing w:val="0"/>
          <w:sz w:val="24"/>
        </w:rPr>
        <w:t>：确定主题后，需进行详细方案设计。首先绘制设计图，可使用CAD、手绘或3D建模软件（如Blender）创建二维或三维效果图，明确展示作品的整体布局、色彩搭配和视觉焦点。设计图应包含以下核心要素：</w:t>
      </w:r>
    </w:p>
    <w:p w14:paraId="053ACE20">
      <w:pPr>
        <w:pageBreakBefore w:val="0"/>
        <w:numPr>
          <w:ilvl w:val="0"/>
          <w:numId w:val="4"/>
        </w:numPr>
        <w:wordWrap/>
        <w:spacing w:before="160" w:after="0"/>
        <w:ind w:left="440" w:right="0" w:hanging="440"/>
        <w:jc w:val="left"/>
        <w:textAlignment w:val="auto"/>
        <w:rPr>
          <w:sz w:val="24"/>
        </w:rPr>
      </w:pPr>
      <w:r>
        <w:rPr>
          <w:rFonts w:ascii="宋体" w:hAnsi="宋体" w:eastAsia="宋体" w:cs="宋体"/>
          <w:b w:val="0"/>
          <w:i w:val="0"/>
          <w:spacing w:val="0"/>
          <w:sz w:val="24"/>
        </w:rPr>
        <w:t>水族箱尺寸与规格</w:t>
      </w:r>
    </w:p>
    <w:p w14:paraId="20068265">
      <w:pPr>
        <w:pageBreakBefore w:val="0"/>
        <w:numPr>
          <w:ilvl w:val="0"/>
          <w:numId w:val="4"/>
        </w:numPr>
        <w:wordWrap/>
        <w:spacing w:before="160" w:after="0"/>
        <w:ind w:left="440" w:right="0" w:hanging="440"/>
        <w:jc w:val="left"/>
        <w:textAlignment w:val="auto"/>
        <w:rPr>
          <w:sz w:val="24"/>
        </w:rPr>
      </w:pPr>
      <w:r>
        <w:rPr>
          <w:rFonts w:ascii="宋体" w:hAnsi="宋体" w:eastAsia="宋体" w:cs="宋体"/>
          <w:b w:val="0"/>
          <w:i w:val="0"/>
          <w:spacing w:val="0"/>
          <w:sz w:val="24"/>
        </w:rPr>
        <w:t>硬景观布局（沉木、石材等）</w:t>
      </w:r>
    </w:p>
    <w:p w14:paraId="3ECB6451">
      <w:pPr>
        <w:pageBreakBefore w:val="0"/>
        <w:numPr>
          <w:ilvl w:val="0"/>
          <w:numId w:val="4"/>
        </w:numPr>
        <w:wordWrap/>
        <w:spacing w:before="160" w:after="0"/>
        <w:ind w:left="440" w:right="0" w:hanging="440"/>
        <w:jc w:val="left"/>
        <w:textAlignment w:val="auto"/>
        <w:rPr>
          <w:sz w:val="24"/>
        </w:rPr>
      </w:pPr>
      <w:r>
        <w:rPr>
          <w:rFonts w:ascii="宋体" w:hAnsi="宋体" w:eastAsia="宋体" w:cs="宋体"/>
          <w:b w:val="0"/>
          <w:i w:val="0"/>
          <w:spacing w:val="0"/>
          <w:sz w:val="24"/>
        </w:rPr>
        <w:t>水草种植区域与品种选择</w:t>
      </w:r>
    </w:p>
    <w:p w14:paraId="169024B7">
      <w:pPr>
        <w:pageBreakBefore w:val="0"/>
        <w:numPr>
          <w:ilvl w:val="0"/>
          <w:numId w:val="4"/>
        </w:numPr>
        <w:wordWrap/>
        <w:spacing w:before="160" w:after="0"/>
        <w:ind w:left="440" w:right="0" w:hanging="440"/>
        <w:jc w:val="left"/>
        <w:textAlignment w:val="auto"/>
        <w:rPr>
          <w:sz w:val="24"/>
        </w:rPr>
      </w:pPr>
      <w:r>
        <w:rPr>
          <w:rFonts w:ascii="宋体" w:hAnsi="宋体" w:eastAsia="宋体" w:cs="宋体"/>
          <w:b w:val="0"/>
          <w:i w:val="0"/>
          <w:spacing w:val="0"/>
          <w:sz w:val="24"/>
        </w:rPr>
        <w:t>生物配置（鱼类、虾类、螺类等）</w:t>
      </w:r>
    </w:p>
    <w:p w14:paraId="1ED85760">
      <w:pPr>
        <w:pageBreakBefore w:val="0"/>
        <w:numPr>
          <w:ilvl w:val="0"/>
          <w:numId w:val="4"/>
        </w:numPr>
        <w:wordWrap/>
        <w:spacing w:before="160" w:after="0"/>
        <w:ind w:left="440" w:right="0" w:hanging="440"/>
        <w:jc w:val="left"/>
        <w:textAlignment w:val="auto"/>
        <w:rPr>
          <w:sz w:val="24"/>
        </w:rPr>
      </w:pPr>
      <w:r>
        <w:rPr>
          <w:rFonts w:ascii="宋体" w:hAnsi="宋体" w:eastAsia="宋体" w:cs="宋体"/>
          <w:b w:val="0"/>
          <w:i w:val="0"/>
          <w:spacing w:val="0"/>
          <w:sz w:val="24"/>
        </w:rPr>
        <w:t>设备配置与参数（过滤系统、照明系统、CO₂系统等）</w:t>
      </w:r>
    </w:p>
    <w:p w14:paraId="450A9061">
      <w:pPr>
        <w:pageBreakBefore w:val="0"/>
        <w:wordWrap/>
        <w:spacing w:before="160" w:after="0"/>
        <w:ind w:left="0" w:right="0"/>
        <w:jc w:val="left"/>
        <w:textAlignment w:val="auto"/>
        <w:rPr>
          <w:sz w:val="24"/>
        </w:rPr>
      </w:pPr>
      <w:r>
        <w:rPr>
          <w:rFonts w:ascii="宋体" w:hAnsi="宋体" w:eastAsia="宋体" w:cs="宋体"/>
          <w:b w:val="0"/>
          <w:i w:val="0"/>
          <w:spacing w:val="0"/>
          <w:sz w:val="24"/>
        </w:rPr>
        <w:t>其次进行生态参数计算，包括水质指标（pH值、硬度、电导率等）、生物密度（鱼、虾、螺的数量与规格）、营养循环（硝化系统、藻类控制、残饵处理等），确保作品的生态稳定性与可持续性。方案设计阶段还需考虑作品的展示效果，包括视觉冲击力、故事性表达与文化内涵等。</w:t>
      </w:r>
    </w:p>
    <w:p w14:paraId="1E558D4F">
      <w:pPr>
        <w:pageBreakBefore w:val="0"/>
        <w:wordWrap/>
        <w:spacing w:before="160" w:after="0"/>
        <w:ind w:left="0" w:right="0"/>
        <w:jc w:val="left"/>
        <w:textAlignment w:val="auto"/>
        <w:rPr>
          <w:sz w:val="24"/>
        </w:rPr>
      </w:pPr>
      <w:r>
        <w:rPr>
          <w:rFonts w:ascii="宋体" w:hAnsi="宋体" w:eastAsia="宋体" w:cs="宋体"/>
          <w:b/>
          <w:i w:val="0"/>
          <w:spacing w:val="0"/>
          <w:sz w:val="24"/>
        </w:rPr>
        <w:t>资源筹备</w:t>
      </w:r>
      <w:r>
        <w:rPr>
          <w:rFonts w:ascii="宋体" w:hAnsi="宋体" w:eastAsia="宋体" w:cs="宋体"/>
          <w:b w:val="0"/>
          <w:i w:val="0"/>
          <w:spacing w:val="0"/>
          <w:sz w:val="24"/>
        </w:rPr>
        <w:t>：资源筹备包括材料采购、设备租赁与经费申请。造景材料需根据设计方案提前准备，包括沉木、石材、水草、底砂等。</w:t>
      </w:r>
      <w:r>
        <w:rPr>
          <w:rFonts w:ascii="宋体" w:hAnsi="宋体" w:eastAsia="宋体" w:cs="宋体"/>
          <w:b/>
          <w:i w:val="0"/>
          <w:spacing w:val="0"/>
          <w:sz w:val="24"/>
        </w:rPr>
        <w:t>建议优先采购环保、无毒的材料，避免使用可能影响水质或生物健康的劣质产品</w:t>
      </w:r>
      <w:r>
        <w:rPr>
          <w:rFonts w:ascii="宋体" w:hAnsi="宋体" w:eastAsia="宋体" w:cs="宋体"/>
          <w:b w:val="0"/>
          <w:i w:val="0"/>
          <w:spacing w:val="0"/>
          <w:sz w:val="24"/>
        </w:rPr>
        <w:t>。设备方面需根据作品需求准备过滤器、照明系统、CO₂系统等，可考虑与赛事赞助商协商租赁事宜。</w:t>
      </w:r>
    </w:p>
    <w:p w14:paraId="1CC6990D">
      <w:pPr>
        <w:pageBreakBefore w:val="0"/>
        <w:wordWrap/>
        <w:spacing w:before="160" w:after="0"/>
        <w:ind w:left="0" w:right="0"/>
        <w:jc w:val="left"/>
        <w:textAlignment w:val="auto"/>
        <w:rPr>
          <w:sz w:val="24"/>
        </w:rPr>
      </w:pPr>
      <w:r>
        <w:rPr>
          <w:rFonts w:ascii="宋体" w:hAnsi="宋体" w:eastAsia="宋体" w:cs="宋体"/>
          <w:b w:val="0"/>
          <w:i w:val="0"/>
          <w:spacing w:val="0"/>
          <w:sz w:val="24"/>
        </w:rPr>
        <w:t>经费是资源筹备的重要保障，参赛团队可通过以下渠道获取：</w:t>
      </w:r>
    </w:p>
    <w:p w14:paraId="2A374855">
      <w:pPr>
        <w:pageBreakBefore w:val="0"/>
        <w:numPr>
          <w:ilvl w:val="0"/>
          <w:numId w:val="5"/>
        </w:numPr>
        <w:wordWrap/>
        <w:spacing w:before="160" w:after="0"/>
        <w:ind w:left="440" w:right="0" w:hanging="440"/>
        <w:jc w:val="left"/>
        <w:textAlignment w:val="auto"/>
        <w:rPr>
          <w:sz w:val="24"/>
        </w:rPr>
      </w:pPr>
      <w:r>
        <w:rPr>
          <w:rFonts w:ascii="宋体" w:hAnsi="宋体" w:eastAsia="宋体" w:cs="宋体"/>
          <w:b w:val="0"/>
          <w:i w:val="0"/>
          <w:spacing w:val="0"/>
          <w:sz w:val="24"/>
        </w:rPr>
        <w:t>校级创新创业基金：许多高校设有针对学生创新创业项目的专项资金，如安徽农业大学的创新创业项目基金</w:t>
      </w:r>
    </w:p>
    <w:p w14:paraId="3304CA21">
      <w:pPr>
        <w:pageBreakBefore w:val="0"/>
        <w:numPr>
          <w:ilvl w:val="0"/>
          <w:numId w:val="5"/>
        </w:numPr>
        <w:wordWrap/>
        <w:spacing w:before="160" w:after="0"/>
        <w:ind w:left="440" w:right="0" w:hanging="440"/>
        <w:jc w:val="left"/>
        <w:textAlignment w:val="auto"/>
        <w:rPr>
          <w:sz w:val="24"/>
        </w:rPr>
      </w:pPr>
      <w:r>
        <w:rPr>
          <w:rFonts w:ascii="宋体" w:hAnsi="宋体" w:eastAsia="宋体" w:cs="宋体"/>
          <w:b w:val="0"/>
          <w:i w:val="0"/>
          <w:spacing w:val="0"/>
          <w:sz w:val="24"/>
        </w:rPr>
        <w:t>水产学院专项经费：水产学院通常会为专业实践类活动提供一定经费支持</w:t>
      </w:r>
    </w:p>
    <w:p w14:paraId="47398519">
      <w:pPr>
        <w:pageBreakBefore w:val="0"/>
        <w:numPr>
          <w:ilvl w:val="0"/>
          <w:numId w:val="5"/>
        </w:numPr>
        <w:wordWrap/>
        <w:spacing w:before="160" w:after="0"/>
        <w:ind w:left="440" w:right="0" w:hanging="440"/>
        <w:jc w:val="left"/>
        <w:textAlignment w:val="auto"/>
        <w:rPr>
          <w:sz w:val="24"/>
        </w:rPr>
      </w:pPr>
      <w:r>
        <w:rPr>
          <w:rFonts w:ascii="宋体" w:hAnsi="宋体" w:eastAsia="宋体" w:cs="宋体"/>
          <w:b w:val="0"/>
          <w:i w:val="0"/>
          <w:spacing w:val="0"/>
          <w:sz w:val="24"/>
        </w:rPr>
        <w:t>企业赞助：与水族器材供应商或观赏水族养殖企业建立合作关系，获取材料或设备赞助</w:t>
      </w:r>
    </w:p>
    <w:p w14:paraId="47F6865C">
      <w:pPr>
        <w:pageBreakBefore w:val="0"/>
        <w:wordWrap/>
        <w:spacing w:before="160" w:after="0"/>
        <w:ind w:left="0" w:right="0"/>
        <w:jc w:val="left"/>
        <w:textAlignment w:val="auto"/>
        <w:rPr>
          <w:rFonts w:ascii="宋体" w:hAnsi="宋体" w:eastAsia="宋体" w:cs="宋体"/>
          <w:b/>
          <w:i w:val="0"/>
          <w:spacing w:val="0"/>
          <w:sz w:val="24"/>
        </w:rPr>
      </w:pPr>
    </w:p>
    <w:p w14:paraId="453B200B">
      <w:pPr>
        <w:pageBreakBefore w:val="0"/>
        <w:wordWrap/>
        <w:spacing w:before="160" w:after="0"/>
        <w:ind w:left="0" w:right="0"/>
        <w:jc w:val="left"/>
        <w:textAlignment w:val="auto"/>
        <w:rPr>
          <w:sz w:val="24"/>
        </w:rPr>
      </w:pPr>
      <w:r>
        <w:rPr>
          <w:rFonts w:ascii="宋体" w:hAnsi="宋体" w:eastAsia="宋体" w:cs="宋体"/>
          <w:b/>
          <w:i w:val="0"/>
          <w:spacing w:val="0"/>
          <w:sz w:val="24"/>
        </w:rPr>
        <w:t>9.3.2 赛中实施</w:t>
      </w:r>
    </w:p>
    <w:p w14:paraId="3648B133">
      <w:pPr>
        <w:pageBreakBefore w:val="0"/>
        <w:wordWrap/>
        <w:spacing w:before="160" w:after="0"/>
        <w:ind w:left="0" w:right="0"/>
        <w:jc w:val="left"/>
        <w:textAlignment w:val="auto"/>
        <w:rPr>
          <w:sz w:val="24"/>
        </w:rPr>
      </w:pPr>
      <w:r>
        <w:rPr>
          <w:rFonts w:ascii="宋体" w:hAnsi="宋体" w:eastAsia="宋体" w:cs="宋体"/>
          <w:b/>
          <w:i w:val="0"/>
          <w:spacing w:val="0"/>
          <w:sz w:val="24"/>
        </w:rPr>
        <w:t>时间管理</w:t>
      </w:r>
      <w:r>
        <w:rPr>
          <w:rFonts w:ascii="宋体" w:hAnsi="宋体" w:eastAsia="宋体" w:cs="宋体"/>
          <w:b w:val="0"/>
          <w:i w:val="0"/>
          <w:spacing w:val="0"/>
          <w:sz w:val="24"/>
        </w:rPr>
        <w:t>：赛事实施阶段通常有严格的时间限制，如集美大学水族箱造景技能大赛决赛要求选手在1小时内完成硬景观搭建，在5分钟内完成答辩。因此，</w:t>
      </w:r>
      <w:r>
        <w:rPr>
          <w:rFonts w:ascii="宋体" w:hAnsi="宋体" w:eastAsia="宋体" w:cs="宋体"/>
          <w:b/>
          <w:i w:val="0"/>
          <w:spacing w:val="0"/>
          <w:sz w:val="24"/>
        </w:rPr>
        <w:t>合理规划时间轴至关重要</w:t>
      </w:r>
      <w:r>
        <w:rPr>
          <w:rFonts w:ascii="宋体" w:hAnsi="宋体" w:eastAsia="宋体" w:cs="宋体"/>
          <w:b w:val="0"/>
          <w:i w:val="0"/>
          <w:spacing w:val="0"/>
          <w:sz w:val="24"/>
        </w:rPr>
        <w:t>。建议将时间划分为以下阶段：</w:t>
      </w:r>
    </w:p>
    <w:p w14:paraId="7E429AEB">
      <w:pPr>
        <w:pageBreakBefore w:val="0"/>
        <w:numPr>
          <w:ilvl w:val="0"/>
          <w:numId w:val="6"/>
        </w:numPr>
        <w:wordWrap/>
        <w:spacing w:before="160" w:after="0"/>
        <w:ind w:left="440" w:right="0" w:hanging="440"/>
        <w:jc w:val="left"/>
        <w:textAlignment w:val="auto"/>
        <w:rPr>
          <w:sz w:val="24"/>
        </w:rPr>
      </w:pPr>
      <w:r>
        <w:rPr>
          <w:rFonts w:ascii="宋体" w:hAnsi="宋体" w:eastAsia="宋体" w:cs="宋体"/>
          <w:b w:val="0"/>
          <w:i w:val="0"/>
          <w:spacing w:val="0"/>
          <w:sz w:val="24"/>
        </w:rPr>
        <w:t>设计构思与材料准备阶段（约30%时间）</w:t>
      </w:r>
    </w:p>
    <w:p w14:paraId="3B950718">
      <w:pPr>
        <w:pageBreakBefore w:val="0"/>
        <w:numPr>
          <w:ilvl w:val="0"/>
          <w:numId w:val="6"/>
        </w:numPr>
        <w:wordWrap/>
        <w:spacing w:before="160" w:after="0"/>
        <w:ind w:left="440" w:right="0" w:hanging="440"/>
        <w:jc w:val="left"/>
        <w:textAlignment w:val="auto"/>
        <w:rPr>
          <w:sz w:val="24"/>
        </w:rPr>
      </w:pPr>
      <w:r>
        <w:rPr>
          <w:rFonts w:ascii="宋体" w:hAnsi="宋体" w:eastAsia="宋体" w:cs="宋体"/>
          <w:b w:val="0"/>
          <w:i w:val="0"/>
          <w:spacing w:val="0"/>
          <w:sz w:val="24"/>
        </w:rPr>
        <w:t>骨架搭建与硬景观布置阶段（约40%时间）</w:t>
      </w:r>
    </w:p>
    <w:p w14:paraId="504F2EE9">
      <w:pPr>
        <w:pageBreakBefore w:val="0"/>
        <w:numPr>
          <w:ilvl w:val="0"/>
          <w:numId w:val="6"/>
        </w:numPr>
        <w:wordWrap/>
        <w:spacing w:before="160" w:after="0"/>
        <w:ind w:left="440" w:right="0" w:hanging="440"/>
        <w:jc w:val="left"/>
        <w:textAlignment w:val="auto"/>
        <w:rPr>
          <w:sz w:val="24"/>
        </w:rPr>
      </w:pPr>
      <w:r>
        <w:rPr>
          <w:rFonts w:ascii="宋体" w:hAnsi="宋体" w:eastAsia="宋体" w:cs="宋体"/>
          <w:b w:val="0"/>
          <w:i w:val="0"/>
          <w:spacing w:val="0"/>
          <w:sz w:val="24"/>
        </w:rPr>
        <w:t>水草种植与生物引入阶段（约20%时间）</w:t>
      </w:r>
    </w:p>
    <w:p w14:paraId="673391EC">
      <w:pPr>
        <w:pageBreakBefore w:val="0"/>
        <w:numPr>
          <w:ilvl w:val="0"/>
          <w:numId w:val="6"/>
        </w:numPr>
        <w:wordWrap/>
        <w:spacing w:before="160" w:after="0"/>
        <w:ind w:left="440" w:right="0" w:hanging="440"/>
        <w:jc w:val="left"/>
        <w:textAlignment w:val="auto"/>
        <w:rPr>
          <w:sz w:val="24"/>
        </w:rPr>
      </w:pPr>
      <w:r>
        <w:rPr>
          <w:rFonts w:ascii="宋体" w:hAnsi="宋体" w:eastAsia="宋体" w:cs="宋体"/>
          <w:b w:val="0"/>
          <w:i w:val="0"/>
          <w:spacing w:val="0"/>
          <w:sz w:val="24"/>
        </w:rPr>
        <w:t>水质稳定与维护调整阶段（约10%时间）</w:t>
      </w:r>
    </w:p>
    <w:p w14:paraId="2DDC708D">
      <w:pPr>
        <w:pageBreakBefore w:val="0"/>
        <w:wordWrap/>
        <w:spacing w:before="160" w:after="0"/>
        <w:ind w:left="0" w:right="0"/>
        <w:jc w:val="left"/>
        <w:textAlignment w:val="auto"/>
        <w:rPr>
          <w:sz w:val="24"/>
        </w:rPr>
      </w:pPr>
      <w:r>
        <w:rPr>
          <w:rFonts w:ascii="宋体" w:hAnsi="宋体" w:eastAsia="宋体" w:cs="宋体"/>
          <w:b/>
          <w:i w:val="0"/>
          <w:spacing w:val="0"/>
          <w:sz w:val="24"/>
        </w:rPr>
        <w:t>现场布景技巧</w:t>
      </w:r>
      <w:r>
        <w:rPr>
          <w:rFonts w:ascii="宋体" w:hAnsi="宋体" w:eastAsia="宋体" w:cs="宋体"/>
          <w:b w:val="0"/>
          <w:i w:val="0"/>
          <w:spacing w:val="0"/>
          <w:sz w:val="24"/>
        </w:rPr>
        <w:t>：现场布景是赛事的核心环节，需掌握以下技巧：</w:t>
      </w:r>
    </w:p>
    <w:p w14:paraId="2C251C25">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快速搭建</w:t>
      </w:r>
      <w:r>
        <w:rPr>
          <w:rFonts w:ascii="宋体" w:hAnsi="宋体" w:eastAsia="宋体" w:cs="宋体"/>
          <w:b w:val="0"/>
          <w:i w:val="0"/>
          <w:spacing w:val="0"/>
          <w:sz w:val="24"/>
        </w:rPr>
        <w:t>：熟悉常用造景材料的特性与处理方法，如沉木的泡发、石材的固定等，确保在有限时间内高效完成骨架搭建</w:t>
      </w:r>
    </w:p>
    <w:p w14:paraId="31C9E242">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细节处理</w:t>
      </w:r>
      <w:r>
        <w:rPr>
          <w:rFonts w:ascii="宋体" w:hAnsi="宋体" w:eastAsia="宋体" w:cs="宋体"/>
          <w:b w:val="0"/>
          <w:i w:val="0"/>
          <w:spacing w:val="0"/>
          <w:sz w:val="24"/>
        </w:rPr>
        <w:t>：注重水草种植的密度与分布、水流的模拟与控制、光线的投射与效果等细节，提升作品的艺术表现力</w:t>
      </w:r>
    </w:p>
    <w:p w14:paraId="1B3C5D52">
      <w:pPr>
        <w:pageBreakBefore w:val="0"/>
        <w:numPr>
          <w:ilvl w:val="0"/>
          <w:numId w:val="7"/>
        </w:numPr>
        <w:wordWrap/>
        <w:spacing w:before="160" w:after="0"/>
        <w:ind w:left="440" w:right="0" w:hanging="440"/>
        <w:jc w:val="left"/>
        <w:textAlignment w:val="auto"/>
        <w:rPr>
          <w:sz w:val="24"/>
        </w:rPr>
      </w:pPr>
      <w:r>
        <w:rPr>
          <w:rFonts w:ascii="宋体" w:hAnsi="宋体" w:eastAsia="宋体" w:cs="宋体"/>
          <w:b/>
          <w:i w:val="0"/>
          <w:spacing w:val="0"/>
          <w:sz w:val="24"/>
        </w:rPr>
        <w:t>应急方案</w:t>
      </w:r>
      <w:r>
        <w:rPr>
          <w:rFonts w:ascii="宋体" w:hAnsi="宋体" w:eastAsia="宋体" w:cs="宋体"/>
          <w:b w:val="0"/>
          <w:i w:val="0"/>
          <w:spacing w:val="0"/>
          <w:sz w:val="24"/>
        </w:rPr>
        <w:t>：准备应对突发情况的预案，如水质突变、水草腐烂、生物死亡等，确保作品的稳定性与完整性</w:t>
      </w:r>
    </w:p>
    <w:p w14:paraId="18F23AD6">
      <w:pPr>
        <w:pageBreakBefore w:val="0"/>
        <w:wordWrap/>
        <w:spacing w:before="160" w:after="0"/>
        <w:ind w:left="0" w:right="0"/>
        <w:jc w:val="left"/>
        <w:textAlignment w:val="auto"/>
        <w:rPr>
          <w:sz w:val="24"/>
        </w:rPr>
      </w:pPr>
      <w:r>
        <w:rPr>
          <w:rFonts w:ascii="宋体" w:hAnsi="宋体" w:eastAsia="宋体" w:cs="宋体"/>
          <w:b w:val="0"/>
          <w:i w:val="0"/>
          <w:spacing w:val="0"/>
          <w:sz w:val="24"/>
        </w:rPr>
        <w:t>在布景过程中，需全程记录作品的制作过程，包括拍摄全程视频、过程图片和成景图片，这些资料将在决赛答辩环节中发挥重要作用。视频应包含作品的构思、设计、搭建和维护全过程，图片应展示作品的多角度、多层次美感，成景图片则需在最佳光照条件下拍摄，突出作品的艺术效果。</w:t>
      </w:r>
    </w:p>
    <w:p w14:paraId="0DD8DABA">
      <w:pPr>
        <w:pageBreakBefore w:val="0"/>
        <w:wordWrap/>
        <w:spacing w:before="160" w:after="0"/>
        <w:ind w:left="0" w:right="0"/>
        <w:jc w:val="left"/>
        <w:textAlignment w:val="auto"/>
        <w:rPr>
          <w:sz w:val="24"/>
        </w:rPr>
      </w:pPr>
      <w:r>
        <w:rPr>
          <w:rFonts w:ascii="宋体" w:hAnsi="宋体" w:eastAsia="宋体" w:cs="宋体"/>
          <w:b/>
          <w:i w:val="0"/>
          <w:spacing w:val="0"/>
          <w:sz w:val="24"/>
        </w:rPr>
        <w:t>展示与答辩</w:t>
      </w:r>
      <w:r>
        <w:rPr>
          <w:rFonts w:ascii="宋体" w:hAnsi="宋体" w:eastAsia="宋体" w:cs="宋体"/>
          <w:b w:val="0"/>
          <w:i w:val="0"/>
          <w:spacing w:val="0"/>
          <w:sz w:val="24"/>
        </w:rPr>
        <w:t>：作品完成后的展示与答辩是决定成绩的关键环节。答辩内容应包括：</w:t>
      </w:r>
    </w:p>
    <w:p w14:paraId="5FADDC84">
      <w:pPr>
        <w:pageBreakBefore w:val="0"/>
        <w:numPr>
          <w:ilvl w:val="0"/>
          <w:numId w:val="8"/>
        </w:numPr>
        <w:wordWrap/>
        <w:spacing w:before="160" w:after="0"/>
        <w:ind w:left="440" w:right="0" w:hanging="440"/>
        <w:jc w:val="left"/>
        <w:textAlignment w:val="auto"/>
        <w:rPr>
          <w:sz w:val="24"/>
        </w:rPr>
      </w:pPr>
      <w:r>
        <w:rPr>
          <w:rFonts w:ascii="宋体" w:hAnsi="宋体" w:eastAsia="宋体" w:cs="宋体"/>
          <w:b w:val="0"/>
          <w:i w:val="0"/>
          <w:spacing w:val="0"/>
          <w:sz w:val="24"/>
        </w:rPr>
        <w:t>设计灵感来源与设计理念：阐述作品的文化背景、自然原型或艺术追求</w:t>
      </w:r>
    </w:p>
    <w:p w14:paraId="01BCD0E2">
      <w:pPr>
        <w:pageBreakBefore w:val="0"/>
        <w:numPr>
          <w:ilvl w:val="0"/>
          <w:numId w:val="8"/>
        </w:numPr>
        <w:wordWrap/>
        <w:spacing w:before="160" w:after="0"/>
        <w:ind w:left="440" w:right="0" w:hanging="440"/>
        <w:jc w:val="left"/>
        <w:textAlignment w:val="auto"/>
        <w:rPr>
          <w:sz w:val="24"/>
        </w:rPr>
      </w:pPr>
      <w:r>
        <w:rPr>
          <w:rFonts w:ascii="宋体" w:hAnsi="宋体" w:eastAsia="宋体" w:cs="宋体"/>
          <w:b w:val="0"/>
          <w:i w:val="0"/>
          <w:spacing w:val="0"/>
          <w:sz w:val="24"/>
        </w:rPr>
        <w:t>作品设计图与硬景观展示：通过PPT展示作品的设计构思与骨架搭建过程</w:t>
      </w:r>
    </w:p>
    <w:p w14:paraId="74F99896">
      <w:pPr>
        <w:pageBreakBefore w:val="0"/>
        <w:numPr>
          <w:ilvl w:val="0"/>
          <w:numId w:val="8"/>
        </w:numPr>
        <w:wordWrap/>
        <w:spacing w:before="160" w:after="0"/>
        <w:ind w:left="440" w:right="0" w:hanging="440"/>
        <w:jc w:val="left"/>
        <w:textAlignment w:val="auto"/>
        <w:rPr>
          <w:sz w:val="24"/>
        </w:rPr>
      </w:pPr>
      <w:r>
        <w:rPr>
          <w:rFonts w:ascii="宋体" w:hAnsi="宋体" w:eastAsia="宋体" w:cs="宋体"/>
          <w:b w:val="0"/>
          <w:i w:val="0"/>
          <w:spacing w:val="0"/>
          <w:sz w:val="24"/>
        </w:rPr>
        <w:t>水草搭配与区位图：说明不同水草的生态习性与搭配策略</w:t>
      </w:r>
    </w:p>
    <w:p w14:paraId="7D2C5CD2">
      <w:pPr>
        <w:pageBreakBefore w:val="0"/>
        <w:numPr>
          <w:ilvl w:val="0"/>
          <w:numId w:val="8"/>
        </w:numPr>
        <w:wordWrap/>
        <w:spacing w:before="160" w:after="0"/>
        <w:ind w:left="440" w:right="0" w:hanging="440"/>
        <w:jc w:val="left"/>
        <w:textAlignment w:val="auto"/>
        <w:rPr>
          <w:sz w:val="24"/>
        </w:rPr>
      </w:pPr>
      <w:r>
        <w:rPr>
          <w:rFonts w:ascii="宋体" w:hAnsi="宋体" w:eastAsia="宋体" w:cs="宋体"/>
          <w:b w:val="0"/>
          <w:i w:val="0"/>
          <w:spacing w:val="0"/>
          <w:sz w:val="24"/>
        </w:rPr>
        <w:t>生物引入与配比：介绍生物选择的理由、数量与混养策略</w:t>
      </w:r>
    </w:p>
    <w:p w14:paraId="3DD96249">
      <w:pPr>
        <w:pageBreakBefore w:val="0"/>
        <w:numPr>
          <w:ilvl w:val="0"/>
          <w:numId w:val="8"/>
        </w:numPr>
        <w:wordWrap/>
        <w:spacing w:before="160" w:after="0"/>
        <w:ind w:left="440" w:right="0" w:hanging="440"/>
        <w:jc w:val="left"/>
        <w:textAlignment w:val="auto"/>
        <w:rPr>
          <w:sz w:val="24"/>
        </w:rPr>
      </w:pPr>
      <w:r>
        <w:rPr>
          <w:rFonts w:ascii="宋体" w:hAnsi="宋体" w:eastAsia="宋体" w:cs="宋体"/>
          <w:b w:val="0"/>
          <w:i w:val="0"/>
          <w:spacing w:val="0"/>
          <w:sz w:val="24"/>
        </w:rPr>
        <w:t>设备配置与参数：详细说明过滤系统、照明系统、CO₂系统等设备的选型与参数设置</w:t>
      </w:r>
    </w:p>
    <w:p w14:paraId="0B074260">
      <w:pPr>
        <w:pageBreakBefore w:val="0"/>
        <w:numPr>
          <w:ilvl w:val="0"/>
          <w:numId w:val="8"/>
        </w:numPr>
        <w:wordWrap/>
        <w:spacing w:before="160" w:after="0"/>
        <w:ind w:left="440" w:right="0" w:hanging="440"/>
        <w:jc w:val="left"/>
        <w:textAlignment w:val="auto"/>
        <w:rPr>
          <w:sz w:val="24"/>
        </w:rPr>
      </w:pPr>
      <w:r>
        <w:rPr>
          <w:rFonts w:ascii="宋体" w:hAnsi="宋体" w:eastAsia="宋体" w:cs="宋体"/>
          <w:b w:val="0"/>
          <w:i w:val="0"/>
          <w:spacing w:val="0"/>
          <w:sz w:val="24"/>
        </w:rPr>
        <w:t>水质管理与维护：分享维持水族箱生态平衡的经验与技巧</w:t>
      </w:r>
    </w:p>
    <w:p w14:paraId="7191D154">
      <w:pPr>
        <w:pageBreakBefore w:val="0"/>
        <w:wordWrap/>
        <w:spacing w:before="160" w:after="0"/>
        <w:ind w:left="0" w:right="0"/>
        <w:jc w:val="left"/>
        <w:textAlignment w:val="auto"/>
        <w:rPr>
          <w:sz w:val="24"/>
        </w:rPr>
      </w:pPr>
      <w:r>
        <w:rPr>
          <w:rFonts w:ascii="宋体" w:hAnsi="宋体" w:eastAsia="宋体" w:cs="宋体"/>
          <w:b/>
          <w:i w:val="0"/>
          <w:spacing w:val="0"/>
          <w:sz w:val="24"/>
          <w:highlight w:val="yellow"/>
        </w:rPr>
        <w:t>答辩技巧</w:t>
      </w:r>
      <w:r>
        <w:rPr>
          <w:rFonts w:ascii="宋体" w:hAnsi="宋体" w:eastAsia="宋体" w:cs="宋体"/>
          <w:b w:val="0"/>
          <w:i w:val="0"/>
          <w:spacing w:val="0"/>
          <w:sz w:val="24"/>
        </w:rPr>
        <w:t>：在5分钟的有限时间内，需高效传递作品的核心价值与创新点。建议采用"故事化+数据化"的表达方式，先通过简短的故事或文化背景引出作品主题，再通过具体的数据（如水质参数、生物存活率）和对比分析（如传统设计与创新设计的差异）展示作品的专业性与科学性。同时，需准备应对评委提问的常见问题，如设计理念的合理性、技术实现的可行性、作品的维护难度等。</w:t>
      </w:r>
    </w:p>
    <w:p w14:paraId="4BF3C073">
      <w:pPr>
        <w:pageBreakBefore w:val="0"/>
        <w:wordWrap/>
        <w:spacing w:before="160" w:after="0"/>
        <w:ind w:left="0" w:right="0"/>
        <w:jc w:val="left"/>
        <w:textAlignment w:val="auto"/>
        <w:rPr>
          <w:rFonts w:ascii="宋体" w:hAnsi="宋体" w:eastAsia="宋体" w:cs="宋体"/>
          <w:b/>
          <w:i w:val="0"/>
          <w:spacing w:val="0"/>
          <w:sz w:val="24"/>
        </w:rPr>
      </w:pPr>
    </w:p>
    <w:p w14:paraId="0546CE33">
      <w:pPr>
        <w:pageBreakBefore w:val="0"/>
        <w:wordWrap/>
        <w:spacing w:before="160" w:after="0"/>
        <w:ind w:left="0" w:right="0"/>
        <w:jc w:val="left"/>
        <w:textAlignment w:val="auto"/>
        <w:rPr>
          <w:sz w:val="24"/>
        </w:rPr>
      </w:pPr>
      <w:r>
        <w:rPr>
          <w:rFonts w:ascii="宋体" w:hAnsi="宋体" w:eastAsia="宋体" w:cs="宋体"/>
          <w:b/>
          <w:i w:val="0"/>
          <w:spacing w:val="0"/>
          <w:sz w:val="24"/>
        </w:rPr>
        <w:t>9.3.3 赛后总结与转化</w:t>
      </w:r>
    </w:p>
    <w:p w14:paraId="0D8DEDF9">
      <w:pPr>
        <w:pageBreakBefore w:val="0"/>
        <w:wordWrap/>
        <w:spacing w:before="160" w:after="0"/>
        <w:ind w:left="0" w:right="0"/>
        <w:jc w:val="left"/>
        <w:textAlignment w:val="auto"/>
        <w:rPr>
          <w:sz w:val="24"/>
        </w:rPr>
      </w:pPr>
      <w:r>
        <w:rPr>
          <w:rFonts w:ascii="宋体" w:hAnsi="宋体" w:eastAsia="宋体" w:cs="宋体"/>
          <w:b/>
          <w:i w:val="0"/>
          <w:spacing w:val="0"/>
          <w:sz w:val="24"/>
        </w:rPr>
        <w:t>作品优化建议反馈</w:t>
      </w:r>
      <w:r>
        <w:rPr>
          <w:rFonts w:ascii="宋体" w:hAnsi="宋体" w:eastAsia="宋体" w:cs="宋体"/>
          <w:b w:val="0"/>
          <w:i w:val="0"/>
          <w:spacing w:val="0"/>
          <w:sz w:val="24"/>
        </w:rPr>
        <w:t>：赛后应及时收集评委、指导老师和参赛同行的反馈意见，分析作品的优缺点，为下一次参赛积累经验。优化建议通常包括：</w:t>
      </w:r>
    </w:p>
    <w:p w14:paraId="48ADAD9C">
      <w:pPr>
        <w:pageBreakBefore w:val="0"/>
        <w:numPr>
          <w:ilvl w:val="0"/>
          <w:numId w:val="9"/>
        </w:numPr>
        <w:wordWrap/>
        <w:spacing w:before="160" w:after="0"/>
        <w:ind w:left="440" w:right="0" w:hanging="440"/>
        <w:jc w:val="left"/>
        <w:textAlignment w:val="auto"/>
        <w:rPr>
          <w:sz w:val="24"/>
        </w:rPr>
      </w:pPr>
      <w:r>
        <w:rPr>
          <w:rFonts w:ascii="宋体" w:hAnsi="宋体" w:eastAsia="宋体" w:cs="宋体"/>
          <w:b w:val="0"/>
          <w:i w:val="0"/>
          <w:spacing w:val="0"/>
          <w:sz w:val="24"/>
        </w:rPr>
        <w:t>生态系统稳定性：如何提高水质稳定性、减少藻类爆发、延长维护周期等</w:t>
      </w:r>
    </w:p>
    <w:p w14:paraId="5169CCD9">
      <w:pPr>
        <w:pageBreakBefore w:val="0"/>
        <w:numPr>
          <w:ilvl w:val="0"/>
          <w:numId w:val="9"/>
        </w:numPr>
        <w:wordWrap/>
        <w:spacing w:before="160" w:after="0"/>
        <w:ind w:left="440" w:right="0" w:hanging="440"/>
        <w:jc w:val="left"/>
        <w:textAlignment w:val="auto"/>
        <w:rPr>
          <w:sz w:val="24"/>
        </w:rPr>
      </w:pPr>
      <w:r>
        <w:rPr>
          <w:rFonts w:ascii="宋体" w:hAnsi="宋体" w:eastAsia="宋体" w:cs="宋体"/>
          <w:b w:val="0"/>
          <w:i w:val="0"/>
          <w:spacing w:val="0"/>
          <w:sz w:val="24"/>
        </w:rPr>
        <w:t>艺术表现力：如何增强作品的视觉冲击力、层次感与意境表达等</w:t>
      </w:r>
    </w:p>
    <w:p w14:paraId="7B4B4AF9">
      <w:pPr>
        <w:pageBreakBefore w:val="0"/>
        <w:numPr>
          <w:ilvl w:val="0"/>
          <w:numId w:val="9"/>
        </w:numPr>
        <w:wordWrap/>
        <w:spacing w:before="160" w:after="0"/>
        <w:ind w:left="440" w:right="0" w:hanging="440"/>
        <w:jc w:val="left"/>
        <w:textAlignment w:val="auto"/>
        <w:rPr>
          <w:sz w:val="24"/>
        </w:rPr>
      </w:pPr>
      <w:r>
        <w:rPr>
          <w:rFonts w:ascii="宋体" w:hAnsi="宋体" w:eastAsia="宋体" w:cs="宋体"/>
          <w:b w:val="0"/>
          <w:i w:val="0"/>
          <w:spacing w:val="0"/>
          <w:sz w:val="24"/>
        </w:rPr>
        <w:t>创新性：如何突破传统设计，引入新技术、新材料或新理念</w:t>
      </w:r>
    </w:p>
    <w:p w14:paraId="4AB195B4">
      <w:pPr>
        <w:pageBreakBefore w:val="0"/>
        <w:wordWrap/>
        <w:spacing w:before="160" w:after="0"/>
        <w:ind w:left="0" w:right="0"/>
        <w:jc w:val="left"/>
        <w:textAlignment w:val="auto"/>
        <w:rPr>
          <w:sz w:val="24"/>
        </w:rPr>
      </w:pPr>
      <w:r>
        <w:rPr>
          <w:rFonts w:ascii="宋体" w:hAnsi="宋体" w:eastAsia="宋体" w:cs="宋体"/>
          <w:b/>
          <w:i w:val="0"/>
          <w:spacing w:val="0"/>
          <w:sz w:val="24"/>
        </w:rPr>
        <w:t>成果转化路径</w:t>
      </w:r>
      <w:r>
        <w:rPr>
          <w:rFonts w:ascii="宋体" w:hAnsi="宋体" w:eastAsia="宋体" w:cs="宋体"/>
          <w:b w:val="0"/>
          <w:i w:val="0"/>
          <w:spacing w:val="0"/>
          <w:sz w:val="24"/>
        </w:rPr>
        <w:t>：获奖作品可通过以下路径实现成果转化：</w:t>
      </w:r>
    </w:p>
    <w:p w14:paraId="1E3BC0A1">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专利申报</w:t>
      </w:r>
      <w:r>
        <w:rPr>
          <w:rFonts w:ascii="宋体" w:hAnsi="宋体" w:eastAsia="宋体" w:cs="宋体"/>
          <w:b w:val="0"/>
          <w:i w:val="0"/>
          <w:spacing w:val="0"/>
          <w:sz w:val="24"/>
        </w:rPr>
        <w:t>：将作品中创新的技术或设计申请专利，如扬州大学学生团队的"懒人鱼缸"已获得6项发明专利</w:t>
      </w:r>
    </w:p>
    <w:p w14:paraId="38C7DDE5">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商业孵化</w:t>
      </w:r>
      <w:r>
        <w:rPr>
          <w:rFonts w:ascii="宋体" w:hAnsi="宋体" w:eastAsia="宋体" w:cs="宋体"/>
          <w:b w:val="0"/>
          <w:i w:val="0"/>
          <w:spacing w:val="0"/>
          <w:sz w:val="24"/>
        </w:rPr>
        <w:t>：将作品转化为商业项目，如安徽农业大学的"AND水族文化传播工作室"已发展为水族造景公司</w:t>
      </w:r>
    </w:p>
    <w:p w14:paraId="2CF502B6">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学术论文</w:t>
      </w:r>
      <w:r>
        <w:rPr>
          <w:rFonts w:ascii="宋体" w:hAnsi="宋体" w:eastAsia="宋体" w:cs="宋体"/>
          <w:b w:val="0"/>
          <w:i w:val="0"/>
          <w:spacing w:val="0"/>
          <w:sz w:val="24"/>
        </w:rPr>
        <w:t>：将作品中的技术创新或生态研究成果整理成学术论文发表</w:t>
      </w:r>
    </w:p>
    <w:p w14:paraId="779A13B8">
      <w:pPr>
        <w:pageBreakBefore w:val="0"/>
        <w:numPr>
          <w:ilvl w:val="0"/>
          <w:numId w:val="10"/>
        </w:numPr>
        <w:wordWrap/>
        <w:spacing w:before="160" w:after="0"/>
        <w:ind w:left="440" w:right="0" w:hanging="440"/>
        <w:jc w:val="left"/>
        <w:textAlignment w:val="auto"/>
        <w:rPr>
          <w:sz w:val="24"/>
        </w:rPr>
      </w:pPr>
      <w:r>
        <w:rPr>
          <w:rFonts w:ascii="宋体" w:hAnsi="宋体" w:eastAsia="宋体" w:cs="宋体"/>
          <w:b/>
          <w:i w:val="0"/>
          <w:spacing w:val="0"/>
          <w:sz w:val="24"/>
        </w:rPr>
        <w:t>教学资源</w:t>
      </w:r>
      <w:r>
        <w:rPr>
          <w:rFonts w:ascii="宋体" w:hAnsi="宋体" w:eastAsia="宋体" w:cs="宋体"/>
          <w:b w:val="0"/>
          <w:i w:val="0"/>
          <w:spacing w:val="0"/>
          <w:sz w:val="24"/>
        </w:rPr>
        <w:t>：将作品设计与制作过程整理成教学案例或教材，如第八届全国大赛已发布《水族景观规划设计》教材</w:t>
      </w:r>
    </w:p>
    <w:p w14:paraId="22FB6785">
      <w:pPr>
        <w:pageBreakBefore w:val="0"/>
        <w:wordWrap/>
        <w:spacing w:before="160" w:after="0"/>
        <w:ind w:left="0" w:right="0"/>
        <w:jc w:val="left"/>
        <w:textAlignment w:val="auto"/>
        <w:rPr>
          <w:sz w:val="24"/>
        </w:rPr>
      </w:pPr>
      <w:r>
        <w:rPr>
          <w:rFonts w:ascii="宋体" w:hAnsi="宋体" w:eastAsia="宋体" w:cs="宋体"/>
          <w:b/>
          <w:i w:val="0"/>
          <w:spacing w:val="0"/>
          <w:sz w:val="24"/>
        </w:rPr>
        <w:t>参赛经验分享</w:t>
      </w:r>
      <w:r>
        <w:rPr>
          <w:rFonts w:ascii="宋体" w:hAnsi="宋体" w:eastAsia="宋体" w:cs="宋体"/>
          <w:b w:val="0"/>
          <w:i w:val="0"/>
          <w:spacing w:val="0"/>
          <w:sz w:val="24"/>
        </w:rPr>
        <w:t>：参赛经验是宝贵的无形资产，可通过以下方式分享：</w:t>
      </w:r>
    </w:p>
    <w:p w14:paraId="7158342C">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社交媒体</w:t>
      </w:r>
      <w:r>
        <w:rPr>
          <w:rFonts w:ascii="宋体" w:hAnsi="宋体" w:eastAsia="宋体" w:cs="宋体"/>
          <w:b w:val="0"/>
          <w:i w:val="0"/>
          <w:spacing w:val="0"/>
          <w:sz w:val="24"/>
        </w:rPr>
        <w:t>：在B站、小红书等平台发布作品制作过程视频和心得体会</w:t>
      </w:r>
    </w:p>
    <w:p w14:paraId="7B685A52">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校内讲座</w:t>
      </w:r>
      <w:r>
        <w:rPr>
          <w:rFonts w:ascii="宋体" w:hAnsi="宋体" w:eastAsia="宋体" w:cs="宋体"/>
          <w:b w:val="0"/>
          <w:i w:val="0"/>
          <w:spacing w:val="0"/>
          <w:sz w:val="24"/>
        </w:rPr>
        <w:t>：组织校内分享会，向同学介绍参赛经验与技巧</w:t>
      </w:r>
    </w:p>
    <w:p w14:paraId="7EA70FB3">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行业论坛</w:t>
      </w:r>
      <w:r>
        <w:rPr>
          <w:rFonts w:ascii="宋体" w:hAnsi="宋体" w:eastAsia="宋体" w:cs="宋体"/>
          <w:b w:val="0"/>
          <w:i w:val="0"/>
          <w:spacing w:val="0"/>
          <w:sz w:val="24"/>
        </w:rPr>
        <w:t>：参加水族造景行业论坛或研讨会，分享学生视角的创新理念</w:t>
      </w:r>
    </w:p>
    <w:p w14:paraId="6125C037">
      <w:pPr>
        <w:pageBreakBefore w:val="0"/>
        <w:numPr>
          <w:ilvl w:val="0"/>
          <w:numId w:val="11"/>
        </w:numPr>
        <w:wordWrap/>
        <w:spacing w:before="160" w:after="0"/>
        <w:ind w:left="440" w:right="0" w:hanging="440"/>
        <w:jc w:val="left"/>
        <w:textAlignment w:val="auto"/>
        <w:rPr>
          <w:sz w:val="24"/>
        </w:rPr>
      </w:pPr>
      <w:r>
        <w:rPr>
          <w:rFonts w:ascii="宋体" w:hAnsi="宋体" w:eastAsia="宋体" w:cs="宋体"/>
          <w:b/>
          <w:i w:val="0"/>
          <w:spacing w:val="0"/>
          <w:sz w:val="24"/>
        </w:rPr>
        <w:t>校企合作</w:t>
      </w:r>
      <w:r>
        <w:rPr>
          <w:rFonts w:ascii="宋体" w:hAnsi="宋体" w:eastAsia="宋体" w:cs="宋体"/>
          <w:b w:val="0"/>
          <w:i w:val="0"/>
          <w:spacing w:val="0"/>
          <w:sz w:val="24"/>
        </w:rPr>
        <w:t>：与企业建立合作关系，将作品技术应用于实际生产或商业项目</w:t>
      </w:r>
    </w:p>
    <w:p w14:paraId="3D3ED041">
      <w:pPr>
        <w:pageBreakBefore w:val="0"/>
        <w:wordWrap/>
        <w:spacing w:before="160" w:after="0"/>
        <w:ind w:left="0" w:right="0"/>
        <w:jc w:val="left"/>
        <w:textAlignment w:val="auto"/>
        <w:rPr>
          <w:rFonts w:ascii="宋体" w:hAnsi="宋体" w:eastAsia="宋体" w:cs="宋体"/>
          <w:b/>
          <w:i w:val="0"/>
          <w:spacing w:val="0"/>
          <w:sz w:val="28"/>
        </w:rPr>
      </w:pPr>
    </w:p>
    <w:p w14:paraId="694BC986">
      <w:pPr>
        <w:pageBreakBefore w:val="0"/>
        <w:wordWrap/>
        <w:spacing w:before="160" w:after="0"/>
        <w:ind w:left="0" w:right="0"/>
        <w:jc w:val="left"/>
        <w:textAlignment w:val="auto"/>
        <w:rPr>
          <w:sz w:val="28"/>
        </w:rPr>
      </w:pPr>
      <w:r>
        <w:rPr>
          <w:rFonts w:ascii="宋体" w:hAnsi="宋体" w:eastAsia="宋体" w:cs="宋体"/>
          <w:b/>
          <w:i w:val="0"/>
          <w:spacing w:val="0"/>
          <w:sz w:val="28"/>
        </w:rPr>
        <w:t>9.4 获奖作品解析与成功要素</w:t>
      </w:r>
    </w:p>
    <w:p w14:paraId="611B5469">
      <w:pPr>
        <w:pageBreakBefore w:val="0"/>
        <w:wordWrap/>
        <w:spacing w:before="160" w:after="0"/>
        <w:ind w:left="0" w:right="0"/>
        <w:jc w:val="left"/>
        <w:textAlignment w:val="auto"/>
        <w:rPr>
          <w:sz w:val="24"/>
        </w:rPr>
      </w:pPr>
      <w:r>
        <w:rPr>
          <w:rFonts w:ascii="宋体" w:hAnsi="宋体" w:eastAsia="宋体" w:cs="宋体"/>
          <w:b/>
          <w:i w:val="0"/>
          <w:spacing w:val="0"/>
          <w:sz w:val="24"/>
        </w:rPr>
        <w:t>9.4.1 经典获奖案例研究</w:t>
      </w:r>
    </w:p>
    <w:p w14:paraId="6873C2A1">
      <w:pPr>
        <w:pageBreakBefore w:val="0"/>
        <w:wordWrap/>
        <w:spacing w:before="160" w:after="0"/>
        <w:ind w:left="0" w:right="0"/>
        <w:jc w:val="left"/>
        <w:textAlignment w:val="auto"/>
        <w:rPr>
          <w:sz w:val="24"/>
        </w:rPr>
      </w:pPr>
      <w:r>
        <w:rPr>
          <w:rFonts w:ascii="宋体" w:hAnsi="宋体" w:eastAsia="宋体" w:cs="宋体"/>
          <w:b/>
          <w:i w:val="0"/>
          <w:spacing w:val="0"/>
          <w:sz w:val="24"/>
        </w:rPr>
        <w:t>案例1：西南大学《归墟》（第八届全国大学生水族箱造景技能大赛特等奖作品）</w:t>
      </w:r>
    </w:p>
    <w:p w14:paraId="431DCBF8">
      <w:pPr>
        <w:pageBreakBefore w:val="0"/>
        <w:wordWrap/>
        <w:spacing w:before="160" w:after="0"/>
        <w:ind w:left="0" w:right="0"/>
        <w:jc w:val="left"/>
        <w:textAlignment w:val="auto"/>
        <w:rPr>
          <w:sz w:val="24"/>
        </w:rPr>
      </w:pPr>
      <w:r>
        <w:rPr>
          <w:rFonts w:ascii="宋体" w:hAnsi="宋体" w:eastAsia="宋体" w:cs="宋体"/>
          <w:b w:val="0"/>
          <w:i w:val="0"/>
          <w:spacing w:val="0"/>
          <w:sz w:val="24"/>
        </w:rPr>
        <w:t>《归墟》是西南大学水族科学与技术专业学生李景润、仲埔言和沈天屹在第八届全国大赛大缸组中获得特等奖的获奖作品。该作品以"自然·共生"为主题，灵感来源于中国神话中的"归墟"，即传说中众水汇聚之处，展现了中国传统水族文化与现代造景技术的完美融合。</w:t>
      </w:r>
    </w:p>
    <w:p w14:paraId="5DF06F3E">
      <w:pPr>
        <w:pageBreakBefore w:val="0"/>
        <w:wordWrap/>
        <w:spacing w:before="160" w:after="0"/>
        <w:ind w:left="0" w:right="0"/>
        <w:jc w:val="left"/>
        <w:textAlignment w:val="auto"/>
        <w:rPr>
          <w:sz w:val="24"/>
        </w:rPr>
      </w:pPr>
      <w:r>
        <w:rPr>
          <w:rFonts w:ascii="宋体" w:hAnsi="宋体" w:eastAsia="宋体" w:cs="宋体"/>
          <w:b/>
          <w:i w:val="0"/>
          <w:spacing w:val="0"/>
          <w:sz w:val="24"/>
        </w:rPr>
        <w:t>设计亮点</w:t>
      </w:r>
      <w:r>
        <w:rPr>
          <w:rFonts w:ascii="宋体" w:hAnsi="宋体" w:eastAsia="宋体" w:cs="宋体"/>
          <w:b w:val="0"/>
          <w:i w:val="0"/>
          <w:spacing w:val="0"/>
          <w:sz w:val="24"/>
        </w:rPr>
        <w:t>：</w:t>
      </w:r>
    </w:p>
    <w:p w14:paraId="32294EEC">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自然生态系统模拟</w:t>
      </w:r>
      <w:r>
        <w:rPr>
          <w:rFonts w:ascii="宋体" w:hAnsi="宋体" w:eastAsia="宋体" w:cs="宋体"/>
          <w:b w:val="0"/>
          <w:i w:val="0"/>
          <w:spacing w:val="0"/>
          <w:sz w:val="24"/>
        </w:rPr>
        <w:t>：作品巧妙地模拟了中国南方溪流生态系统，通过沉木、青龙石和底砂的合理搭配，再现了溪流的自然肌理与水流动态</w:t>
      </w:r>
    </w:p>
    <w:p w14:paraId="764664B1">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物种多样性</w:t>
      </w:r>
      <w:r>
        <w:rPr>
          <w:rFonts w:ascii="宋体" w:hAnsi="宋体" w:eastAsia="宋体" w:cs="宋体"/>
          <w:b w:val="0"/>
          <w:i w:val="0"/>
          <w:spacing w:val="0"/>
          <w:sz w:val="24"/>
        </w:rPr>
        <w:t>：选择了多种中国本土观赏鱼种，如青鳉、斑马鱼等，形成丰富的生物群落</w:t>
      </w:r>
    </w:p>
    <w:p w14:paraId="1FC871F1">
      <w:pPr>
        <w:pageBreakBefore w:val="0"/>
        <w:numPr>
          <w:ilvl w:val="0"/>
          <w:numId w:val="12"/>
        </w:numPr>
        <w:wordWrap/>
        <w:spacing w:before="160" w:after="0"/>
        <w:ind w:left="440" w:right="0" w:hanging="440"/>
        <w:jc w:val="left"/>
        <w:textAlignment w:val="auto"/>
        <w:rPr>
          <w:sz w:val="24"/>
        </w:rPr>
      </w:pPr>
      <w:r>
        <w:rPr>
          <w:rFonts w:ascii="宋体" w:hAnsi="宋体" w:eastAsia="宋体" w:cs="宋体"/>
          <w:b/>
          <w:i w:val="0"/>
          <w:spacing w:val="0"/>
          <w:sz w:val="24"/>
        </w:rPr>
        <w:t>文化内涵</w:t>
      </w:r>
      <w:r>
        <w:rPr>
          <w:rFonts w:ascii="宋体" w:hAnsi="宋体" w:eastAsia="宋体" w:cs="宋体"/>
          <w:b w:val="0"/>
          <w:i w:val="0"/>
          <w:spacing w:val="0"/>
          <w:sz w:val="24"/>
        </w:rPr>
        <w:t>：融入了中国传统水墨画的构图理念，通过留白与层次感的处理，营造出深远的意境</w:t>
      </w:r>
    </w:p>
    <w:p w14:paraId="55E4EA51">
      <w:pPr>
        <w:pageBreakBefore w:val="0"/>
        <w:wordWrap/>
        <w:spacing w:before="160" w:after="0"/>
        <w:ind w:left="0" w:right="0"/>
        <w:jc w:val="left"/>
        <w:textAlignment w:val="auto"/>
        <w:rPr>
          <w:sz w:val="24"/>
        </w:rPr>
      </w:pPr>
      <w:r>
        <w:rPr>
          <w:rFonts w:ascii="宋体" w:hAnsi="宋体" w:eastAsia="宋体" w:cs="宋体"/>
          <w:b/>
          <w:i w:val="0"/>
          <w:spacing w:val="0"/>
          <w:sz w:val="24"/>
        </w:rPr>
        <w:t>技术创新</w:t>
      </w:r>
      <w:r>
        <w:rPr>
          <w:rFonts w:ascii="宋体" w:hAnsi="宋体" w:eastAsia="宋体" w:cs="宋体"/>
          <w:b w:val="0"/>
          <w:i w:val="0"/>
          <w:spacing w:val="0"/>
          <w:sz w:val="24"/>
        </w:rPr>
        <w:t>：</w:t>
      </w:r>
    </w:p>
    <w:p w14:paraId="6B914C06">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微生物降解系统</w:t>
      </w:r>
      <w:r>
        <w:rPr>
          <w:rFonts w:ascii="宋体" w:hAnsi="宋体" w:eastAsia="宋体" w:cs="宋体"/>
          <w:b w:val="0"/>
          <w:i w:val="0"/>
          <w:spacing w:val="0"/>
          <w:sz w:val="24"/>
        </w:rPr>
        <w:t>：采用特定的硝化细菌培养技术，加速了水族箱内氮循环，提高了水质稳定性</w:t>
      </w:r>
    </w:p>
    <w:p w14:paraId="60781B36">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智能监测模块</w:t>
      </w:r>
      <w:r>
        <w:rPr>
          <w:rFonts w:ascii="宋体" w:hAnsi="宋体" w:eastAsia="宋体" w:cs="宋体"/>
          <w:b w:val="0"/>
          <w:i w:val="0"/>
          <w:spacing w:val="0"/>
          <w:sz w:val="24"/>
        </w:rPr>
        <w:t>：集成水质监测传感器与数据分析系统，实现了对pH、氨氮、亚硝酸盐等关键指标的实时监控</w:t>
      </w:r>
    </w:p>
    <w:p w14:paraId="560C0F31">
      <w:pPr>
        <w:pageBreakBefore w:val="0"/>
        <w:numPr>
          <w:ilvl w:val="0"/>
          <w:numId w:val="13"/>
        </w:numPr>
        <w:wordWrap/>
        <w:spacing w:before="160" w:after="0"/>
        <w:ind w:left="440" w:right="0" w:hanging="440"/>
        <w:jc w:val="left"/>
        <w:textAlignment w:val="auto"/>
        <w:rPr>
          <w:sz w:val="24"/>
        </w:rPr>
      </w:pPr>
      <w:r>
        <w:rPr>
          <w:rFonts w:ascii="宋体" w:hAnsi="宋体" w:eastAsia="宋体" w:cs="宋体"/>
          <w:b/>
          <w:i w:val="0"/>
          <w:spacing w:val="0"/>
          <w:sz w:val="24"/>
        </w:rPr>
        <w:t>生态参数优化</w:t>
      </w:r>
      <w:r>
        <w:rPr>
          <w:rFonts w:ascii="宋体" w:hAnsi="宋体" w:eastAsia="宋体" w:cs="宋体"/>
          <w:b w:val="0"/>
          <w:i w:val="0"/>
          <w:spacing w:val="0"/>
          <w:sz w:val="24"/>
        </w:rPr>
        <w:t>：通过精确计算生物密度与水体体积的比值，确保了生态系统的长期平衡与稳定</w:t>
      </w:r>
    </w:p>
    <w:p w14:paraId="3AE540FB">
      <w:pPr>
        <w:pageBreakBefore w:val="0"/>
        <w:wordWrap/>
        <w:spacing w:before="160" w:after="0"/>
        <w:ind w:left="0" w:right="0"/>
        <w:jc w:val="left"/>
        <w:textAlignment w:val="auto"/>
        <w:rPr>
          <w:sz w:val="24"/>
        </w:rPr>
      </w:pPr>
      <w:r>
        <w:rPr>
          <w:rFonts w:ascii="宋体" w:hAnsi="宋体" w:eastAsia="宋体" w:cs="宋体"/>
          <w:b/>
          <w:i w:val="0"/>
          <w:spacing w:val="0"/>
          <w:sz w:val="24"/>
        </w:rPr>
        <w:t>社会价值</w:t>
      </w:r>
      <w:r>
        <w:rPr>
          <w:rFonts w:ascii="宋体" w:hAnsi="宋体" w:eastAsia="宋体" w:cs="宋体"/>
          <w:b w:val="0"/>
          <w:i w:val="0"/>
          <w:spacing w:val="0"/>
          <w:sz w:val="24"/>
        </w:rPr>
        <w:t>：</w:t>
      </w:r>
    </w:p>
    <w:p w14:paraId="406AE045">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环保理念传播</w:t>
      </w:r>
      <w:r>
        <w:rPr>
          <w:rFonts w:ascii="宋体" w:hAnsi="宋体" w:eastAsia="宋体" w:cs="宋体"/>
          <w:b w:val="0"/>
          <w:i w:val="0"/>
          <w:spacing w:val="0"/>
          <w:sz w:val="24"/>
        </w:rPr>
        <w:t>：作品强调了水生生态系统保护的重要性，引发了观众对水资源保护的思考</w:t>
      </w:r>
    </w:p>
    <w:p w14:paraId="4B216764">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传统文化传承</w:t>
      </w:r>
      <w:r>
        <w:rPr>
          <w:rFonts w:ascii="宋体" w:hAnsi="宋体" w:eastAsia="宋体" w:cs="宋体"/>
          <w:b w:val="0"/>
          <w:i w:val="0"/>
          <w:spacing w:val="0"/>
          <w:sz w:val="24"/>
        </w:rPr>
        <w:t>：将中国传统"归墟"文化融入现代水族造景，实现了传统文化的创造性转化</w:t>
      </w:r>
    </w:p>
    <w:p w14:paraId="71E98163">
      <w:pPr>
        <w:pageBreakBefore w:val="0"/>
        <w:numPr>
          <w:ilvl w:val="0"/>
          <w:numId w:val="14"/>
        </w:numPr>
        <w:wordWrap/>
        <w:spacing w:before="160" w:after="0"/>
        <w:ind w:left="440" w:right="0" w:hanging="440"/>
        <w:jc w:val="left"/>
        <w:textAlignment w:val="auto"/>
        <w:rPr>
          <w:sz w:val="24"/>
        </w:rPr>
      </w:pPr>
      <w:r>
        <w:rPr>
          <w:rFonts w:ascii="宋体" w:hAnsi="宋体" w:eastAsia="宋体" w:cs="宋体"/>
          <w:b/>
          <w:i w:val="0"/>
          <w:spacing w:val="0"/>
          <w:sz w:val="24"/>
        </w:rPr>
        <w:t>教育示范作用</w:t>
      </w:r>
      <w:r>
        <w:rPr>
          <w:rFonts w:ascii="宋体" w:hAnsi="宋体" w:eastAsia="宋体" w:cs="宋体"/>
          <w:b w:val="0"/>
          <w:i w:val="0"/>
          <w:spacing w:val="0"/>
          <w:sz w:val="24"/>
        </w:rPr>
        <w:t>：作为全国大赛特等奖作品，《归墟》为其他高校学生提供了优秀的技术与设计参考</w:t>
      </w:r>
    </w:p>
    <w:p w14:paraId="516516A2">
      <w:pPr>
        <w:pageBreakBefore w:val="0"/>
        <w:wordWrap/>
        <w:spacing w:before="160" w:after="0"/>
        <w:ind w:left="0" w:right="0"/>
        <w:jc w:val="left"/>
        <w:textAlignment w:val="auto"/>
        <w:rPr>
          <w:sz w:val="24"/>
        </w:rPr>
      </w:pPr>
      <w:r>
        <w:rPr>
          <w:rFonts w:ascii="宋体" w:hAnsi="宋体" w:eastAsia="宋体" w:cs="宋体"/>
          <w:b/>
          <w:i w:val="0"/>
          <w:spacing w:val="0"/>
          <w:sz w:val="24"/>
        </w:rPr>
        <w:t>案例2：仲恺农业工程学院《水墨江南》（跨学科合作获奖作品）</w:t>
      </w:r>
    </w:p>
    <w:p w14:paraId="557ED119">
      <w:pPr>
        <w:pageBreakBefore w:val="0"/>
        <w:wordWrap/>
        <w:spacing w:before="160" w:after="0"/>
        <w:ind w:left="0" w:right="0"/>
        <w:jc w:val="left"/>
        <w:textAlignment w:val="auto"/>
        <w:rPr>
          <w:sz w:val="24"/>
        </w:rPr>
      </w:pPr>
      <w:r>
        <w:rPr>
          <w:rFonts w:ascii="宋体" w:hAnsi="宋体" w:eastAsia="宋体" w:cs="宋体"/>
          <w:b w:val="0"/>
          <w:i w:val="0"/>
          <w:spacing w:val="0"/>
          <w:sz w:val="24"/>
        </w:rPr>
        <w:t>《水墨江南》是仲恺农业工程学院水产养殖和水生动物医学专业学生创作的获奖作品，该作品融合了中国传统水墨画艺术与现代水族造景技术，展现了跨学科合作的创新价值。</w:t>
      </w:r>
    </w:p>
    <w:p w14:paraId="7A1E8C28">
      <w:pPr>
        <w:pageBreakBefore w:val="0"/>
        <w:wordWrap/>
        <w:spacing w:before="160" w:after="0"/>
        <w:ind w:left="0" w:right="0"/>
        <w:jc w:val="left"/>
        <w:textAlignment w:val="auto"/>
        <w:rPr>
          <w:sz w:val="24"/>
        </w:rPr>
      </w:pPr>
      <w:r>
        <w:rPr>
          <w:rFonts w:ascii="宋体" w:hAnsi="宋体" w:eastAsia="宋体" w:cs="宋体"/>
          <w:b/>
          <w:i w:val="0"/>
          <w:spacing w:val="0"/>
          <w:sz w:val="24"/>
        </w:rPr>
        <w:t>艺术与技术的平衡</w:t>
      </w:r>
      <w:r>
        <w:rPr>
          <w:rFonts w:ascii="宋体" w:hAnsi="宋体" w:eastAsia="宋体" w:cs="宋体"/>
          <w:b w:val="0"/>
          <w:i w:val="0"/>
          <w:spacing w:val="0"/>
          <w:sz w:val="24"/>
        </w:rPr>
        <w:t>：</w:t>
      </w:r>
    </w:p>
    <w:p w14:paraId="4BADDF41">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枯山水元素应用</w:t>
      </w:r>
      <w:r>
        <w:rPr>
          <w:rFonts w:ascii="宋体" w:hAnsi="宋体" w:eastAsia="宋体" w:cs="宋体"/>
          <w:b w:val="0"/>
          <w:i w:val="0"/>
          <w:spacing w:val="0"/>
          <w:sz w:val="24"/>
        </w:rPr>
        <w:t>：借鉴日本枯山水艺术中的"石组"与"砂纹"设计理念，通过沉木与底砂的组合，创造出类似水墨画的抽象美感</w:t>
      </w:r>
    </w:p>
    <w:p w14:paraId="12214292">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现代材料创新</w:t>
      </w:r>
      <w:r>
        <w:rPr>
          <w:rFonts w:ascii="宋体" w:hAnsi="宋体" w:eastAsia="宋体" w:cs="宋体"/>
          <w:b w:val="0"/>
          <w:i w:val="0"/>
          <w:spacing w:val="0"/>
          <w:sz w:val="24"/>
        </w:rPr>
        <w:t>：采用高硼硅玻璃缸、磁悬浮增氧泵等现代材料与设备，提升了作品的稳定性和观赏性</w:t>
      </w:r>
    </w:p>
    <w:p w14:paraId="77AA923F">
      <w:pPr>
        <w:pageBreakBefore w:val="0"/>
        <w:numPr>
          <w:ilvl w:val="0"/>
          <w:numId w:val="15"/>
        </w:numPr>
        <w:wordWrap/>
        <w:spacing w:before="160" w:after="0"/>
        <w:ind w:left="440" w:right="0" w:hanging="440"/>
        <w:jc w:val="left"/>
        <w:textAlignment w:val="auto"/>
        <w:rPr>
          <w:sz w:val="24"/>
        </w:rPr>
      </w:pPr>
      <w:r>
        <w:rPr>
          <w:rFonts w:ascii="宋体" w:hAnsi="宋体" w:eastAsia="宋体" w:cs="宋体"/>
          <w:b/>
          <w:i w:val="0"/>
          <w:spacing w:val="0"/>
          <w:sz w:val="24"/>
        </w:rPr>
        <w:t>光影效果设计</w:t>
      </w:r>
      <w:r>
        <w:rPr>
          <w:rFonts w:ascii="宋体" w:hAnsi="宋体" w:eastAsia="宋体" w:cs="宋体"/>
          <w:b w:val="0"/>
          <w:i w:val="0"/>
          <w:spacing w:val="0"/>
          <w:sz w:val="24"/>
        </w:rPr>
        <w:t>：通过LED灯光的层次化设计，营造出水墨画般的明暗过渡与意境表达</w:t>
      </w:r>
    </w:p>
    <w:p w14:paraId="4D550CFA">
      <w:pPr>
        <w:pageBreakBefore w:val="0"/>
        <w:wordWrap/>
        <w:spacing w:before="160" w:after="0"/>
        <w:ind w:left="0" w:right="0"/>
        <w:jc w:val="left"/>
        <w:textAlignment w:val="auto"/>
        <w:rPr>
          <w:sz w:val="24"/>
        </w:rPr>
      </w:pPr>
      <w:r>
        <w:rPr>
          <w:rFonts w:ascii="宋体" w:hAnsi="宋体" w:eastAsia="宋体" w:cs="宋体"/>
          <w:b/>
          <w:i w:val="0"/>
          <w:spacing w:val="0"/>
          <w:sz w:val="24"/>
        </w:rPr>
        <w:t>跨学科合作模式</w:t>
      </w:r>
      <w:r>
        <w:rPr>
          <w:rFonts w:ascii="宋体" w:hAnsi="宋体" w:eastAsia="宋体" w:cs="宋体"/>
          <w:b w:val="0"/>
          <w:i w:val="0"/>
          <w:spacing w:val="0"/>
          <w:sz w:val="24"/>
        </w:rPr>
        <w:t>：</w:t>
      </w:r>
    </w:p>
    <w:p w14:paraId="3C725ECE">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团队组成</w:t>
      </w:r>
      <w:r>
        <w:rPr>
          <w:rFonts w:ascii="宋体" w:hAnsi="宋体" w:eastAsia="宋体" w:cs="宋体"/>
          <w:b w:val="0"/>
          <w:i w:val="0"/>
          <w:spacing w:val="0"/>
          <w:sz w:val="24"/>
        </w:rPr>
        <w:t>：团队成员来自水产养殖和艺术设计两个不同专业，水产专业学生负责生态系统的构建与维护，艺术专业学生负责视觉效果与美学表达</w:t>
      </w:r>
    </w:p>
    <w:p w14:paraId="0B6DD774">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分工协作</w:t>
      </w:r>
      <w:r>
        <w:rPr>
          <w:rFonts w:ascii="宋体" w:hAnsi="宋体" w:eastAsia="宋体" w:cs="宋体"/>
          <w:b w:val="0"/>
          <w:i w:val="0"/>
          <w:spacing w:val="0"/>
          <w:sz w:val="24"/>
        </w:rPr>
        <w:t>：水产专业学生负责水质参数计算、生物混养规划与生态平衡管理；艺术专业学生负责构图设计、色彩搭配与视觉焦点营造</w:t>
      </w:r>
    </w:p>
    <w:p w14:paraId="445E4CC6">
      <w:pPr>
        <w:pageBreakBefore w:val="0"/>
        <w:numPr>
          <w:ilvl w:val="0"/>
          <w:numId w:val="16"/>
        </w:numPr>
        <w:wordWrap/>
        <w:spacing w:before="160" w:after="0"/>
        <w:ind w:left="440" w:right="0" w:hanging="440"/>
        <w:jc w:val="left"/>
        <w:textAlignment w:val="auto"/>
        <w:rPr>
          <w:sz w:val="24"/>
        </w:rPr>
      </w:pPr>
      <w:r>
        <w:rPr>
          <w:rFonts w:ascii="宋体" w:hAnsi="宋体" w:eastAsia="宋体" w:cs="宋体"/>
          <w:b/>
          <w:i w:val="0"/>
          <w:spacing w:val="0"/>
          <w:sz w:val="24"/>
        </w:rPr>
        <w:t>资源整合</w:t>
      </w:r>
      <w:r>
        <w:rPr>
          <w:rFonts w:ascii="宋体" w:hAnsi="宋体" w:eastAsia="宋体" w:cs="宋体"/>
          <w:b w:val="0"/>
          <w:i w:val="0"/>
          <w:spacing w:val="0"/>
          <w:sz w:val="24"/>
        </w:rPr>
        <w:t>：通过跨学科合作，团队整合了水产学院的实验设备与艺术学院的设计资源，实现了技术与艺术的完美结合</w:t>
      </w:r>
    </w:p>
    <w:p w14:paraId="18F1ECDA">
      <w:pPr>
        <w:pageBreakBefore w:val="0"/>
        <w:wordWrap/>
        <w:spacing w:before="160" w:after="0"/>
        <w:ind w:left="0" w:right="0"/>
        <w:jc w:val="left"/>
        <w:textAlignment w:val="auto"/>
        <w:rPr>
          <w:sz w:val="24"/>
        </w:rPr>
      </w:pPr>
      <w:r>
        <w:rPr>
          <w:rFonts w:ascii="宋体" w:hAnsi="宋体" w:eastAsia="宋体" w:cs="宋体"/>
          <w:b/>
          <w:i w:val="0"/>
          <w:spacing w:val="0"/>
          <w:sz w:val="24"/>
        </w:rPr>
        <w:t>文化传播效果</w:t>
      </w:r>
      <w:r>
        <w:rPr>
          <w:rFonts w:ascii="宋体" w:hAnsi="宋体" w:eastAsia="宋体" w:cs="宋体"/>
          <w:b w:val="0"/>
          <w:i w:val="0"/>
          <w:spacing w:val="0"/>
          <w:sz w:val="24"/>
        </w:rPr>
        <w:t>：</w:t>
      </w:r>
    </w:p>
    <w:p w14:paraId="114F5EA6">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文化符号提炼</w:t>
      </w:r>
      <w:r>
        <w:rPr>
          <w:rFonts w:ascii="宋体" w:hAnsi="宋体" w:eastAsia="宋体" w:cs="宋体"/>
          <w:b w:val="0"/>
          <w:i w:val="0"/>
          <w:spacing w:val="0"/>
          <w:sz w:val="24"/>
        </w:rPr>
        <w:t>：将"江南"文化的园林意境、山水精神等抽象符号转化为具体的水族造景元素</w:t>
      </w:r>
    </w:p>
    <w:p w14:paraId="405177AA">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文化传播渠道</w:t>
      </w:r>
      <w:r>
        <w:rPr>
          <w:rFonts w:ascii="宋体" w:hAnsi="宋体" w:eastAsia="宋体" w:cs="宋体"/>
          <w:b w:val="0"/>
          <w:i w:val="0"/>
          <w:spacing w:val="0"/>
          <w:sz w:val="24"/>
        </w:rPr>
        <w:t>：作品通过社交媒体、行业展览和校园文化活动等多渠道传播，扩大了文化影响力</w:t>
      </w:r>
    </w:p>
    <w:p w14:paraId="168FFA5A">
      <w:pPr>
        <w:pageBreakBefore w:val="0"/>
        <w:numPr>
          <w:ilvl w:val="0"/>
          <w:numId w:val="17"/>
        </w:numPr>
        <w:wordWrap/>
        <w:spacing w:before="160" w:after="0"/>
        <w:ind w:left="440" w:right="0" w:hanging="440"/>
        <w:jc w:val="left"/>
        <w:textAlignment w:val="auto"/>
        <w:rPr>
          <w:sz w:val="24"/>
        </w:rPr>
      </w:pPr>
      <w:r>
        <w:rPr>
          <w:rFonts w:ascii="宋体" w:hAnsi="宋体" w:eastAsia="宋体" w:cs="宋体"/>
          <w:b/>
          <w:i w:val="0"/>
          <w:spacing w:val="0"/>
          <w:sz w:val="24"/>
        </w:rPr>
        <w:t>教育价值体现</w:t>
      </w:r>
      <w:r>
        <w:rPr>
          <w:rFonts w:ascii="宋体" w:hAnsi="宋体" w:eastAsia="宋体" w:cs="宋体"/>
          <w:b w:val="0"/>
          <w:i w:val="0"/>
          <w:spacing w:val="0"/>
          <w:sz w:val="24"/>
        </w:rPr>
        <w:t>：作品展示了传统文化与现代科技的融合创新，为高校美育与创新创业教育提供了生动案例</w:t>
      </w:r>
    </w:p>
    <w:p w14:paraId="4023544E">
      <w:pPr>
        <w:pageBreakBefore w:val="0"/>
        <w:wordWrap/>
        <w:spacing w:before="160" w:after="0"/>
        <w:ind w:left="0" w:right="0"/>
        <w:jc w:val="left"/>
        <w:textAlignment w:val="auto"/>
        <w:rPr>
          <w:rFonts w:ascii="宋体" w:hAnsi="宋体" w:eastAsia="宋体" w:cs="宋体"/>
          <w:b/>
          <w:i w:val="0"/>
          <w:spacing w:val="0"/>
          <w:sz w:val="24"/>
        </w:rPr>
      </w:pPr>
    </w:p>
    <w:p w14:paraId="796B5D57">
      <w:pPr>
        <w:pageBreakBefore w:val="0"/>
        <w:wordWrap/>
        <w:spacing w:before="160" w:after="0"/>
        <w:ind w:left="0" w:right="0"/>
        <w:jc w:val="left"/>
        <w:textAlignment w:val="auto"/>
        <w:rPr>
          <w:sz w:val="24"/>
        </w:rPr>
      </w:pPr>
      <w:r>
        <w:rPr>
          <w:rFonts w:ascii="宋体" w:hAnsi="宋体" w:eastAsia="宋体" w:cs="宋体"/>
          <w:b/>
          <w:i w:val="0"/>
          <w:spacing w:val="0"/>
          <w:sz w:val="24"/>
        </w:rPr>
        <w:t>9.4.2 成功作品的共性特征</w:t>
      </w:r>
    </w:p>
    <w:p w14:paraId="51967BAD">
      <w:pPr>
        <w:pageBreakBefore w:val="0"/>
        <w:wordWrap/>
        <w:spacing w:before="160" w:after="0"/>
        <w:ind w:left="0" w:right="0"/>
        <w:jc w:val="left"/>
        <w:textAlignment w:val="auto"/>
        <w:rPr>
          <w:sz w:val="24"/>
        </w:rPr>
      </w:pPr>
      <w:r>
        <w:rPr>
          <w:rFonts w:ascii="宋体" w:hAnsi="宋体" w:eastAsia="宋体" w:cs="宋体"/>
          <w:b w:val="0"/>
          <w:i w:val="0"/>
          <w:spacing w:val="0"/>
          <w:sz w:val="24"/>
        </w:rPr>
        <w:t>通过对多届全国大学生水族箱造景技能大赛获奖作品的分析，可以发现成功作品普遍具有以下共性特征：</w:t>
      </w:r>
    </w:p>
    <w:p w14:paraId="3D2E4576">
      <w:pPr>
        <w:pageBreakBefore w:val="0"/>
        <w:wordWrap/>
        <w:spacing w:before="160" w:after="0"/>
        <w:ind w:left="0" w:right="0"/>
        <w:jc w:val="left"/>
        <w:textAlignment w:val="auto"/>
        <w:rPr>
          <w:sz w:val="24"/>
        </w:rPr>
      </w:pPr>
      <w:r>
        <w:rPr>
          <w:rFonts w:ascii="宋体" w:hAnsi="宋体" w:eastAsia="宋体" w:cs="宋体"/>
          <w:b/>
          <w:i w:val="0"/>
          <w:spacing w:val="0"/>
          <w:sz w:val="24"/>
        </w:rPr>
        <w:t>主题立意：社会价值与艺术性的统一</w:t>
      </w:r>
      <w:r>
        <w:rPr>
          <w:rFonts w:ascii="宋体" w:hAnsi="宋体" w:eastAsia="宋体" w:cs="宋体"/>
          <w:b w:val="0"/>
          <w:i w:val="0"/>
          <w:spacing w:val="0"/>
          <w:sz w:val="24"/>
        </w:rPr>
        <w:t>。成功的水族造景作品往往能够在艺术表现与社会价值之间找到平衡点。如《归墟》不仅是一件精美的水族造景作品，更承载了中国传统水文化的精神内涵；《碧落红壤》则通过岭南红土森林的复刻，展现了中国地域生态的特色与魅力。</w:t>
      </w:r>
      <w:r>
        <w:rPr>
          <w:rFonts w:ascii="宋体" w:hAnsi="宋体" w:eastAsia="宋体" w:cs="宋体"/>
          <w:b/>
          <w:i w:val="0"/>
          <w:spacing w:val="0"/>
          <w:sz w:val="24"/>
        </w:rPr>
        <w:t>优秀作品通常具有明确的主题表达，能够通过水族造景传递特定的文化、生态或社会理念</w:t>
      </w:r>
      <w:r>
        <w:rPr>
          <w:rFonts w:ascii="宋体" w:hAnsi="宋体" w:eastAsia="宋体" w:cs="宋体"/>
          <w:b w:val="0"/>
          <w:i w:val="0"/>
          <w:spacing w:val="0"/>
          <w:sz w:val="24"/>
        </w:rPr>
        <w:t>。</w:t>
      </w:r>
    </w:p>
    <w:p w14:paraId="5F066E24">
      <w:pPr>
        <w:pageBreakBefore w:val="0"/>
        <w:wordWrap/>
        <w:spacing w:before="160" w:after="0"/>
        <w:ind w:left="0" w:right="0"/>
        <w:jc w:val="left"/>
        <w:textAlignment w:val="auto"/>
        <w:rPr>
          <w:sz w:val="24"/>
        </w:rPr>
      </w:pPr>
      <w:r>
        <w:rPr>
          <w:rFonts w:ascii="宋体" w:hAnsi="宋体" w:eastAsia="宋体" w:cs="宋体"/>
          <w:b/>
          <w:i w:val="0"/>
          <w:spacing w:val="0"/>
          <w:sz w:val="24"/>
        </w:rPr>
        <w:t>技术实现：生态稳定性与可维护性</w:t>
      </w:r>
      <w:r>
        <w:rPr>
          <w:rFonts w:ascii="宋体" w:hAnsi="宋体" w:eastAsia="宋体" w:cs="宋体"/>
          <w:b w:val="0"/>
          <w:i w:val="0"/>
          <w:spacing w:val="0"/>
          <w:sz w:val="24"/>
        </w:rPr>
        <w:t>。技术实现是水族造景作品的核心竞争力。成功的获奖作品往往在以下几个方面表现出色：</w:t>
      </w:r>
    </w:p>
    <w:p w14:paraId="5C066FEB">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生态系统稳定性</w:t>
      </w:r>
      <w:r>
        <w:rPr>
          <w:rFonts w:ascii="宋体" w:hAnsi="宋体" w:eastAsia="宋体" w:cs="宋体"/>
          <w:b w:val="0"/>
          <w:i w:val="0"/>
          <w:spacing w:val="0"/>
          <w:sz w:val="24"/>
        </w:rPr>
        <w:t>：通过科学的生物配比、合理的过滤系统设计和精确的水质管理，确保作品能够长期稳定运行</w:t>
      </w:r>
    </w:p>
    <w:p w14:paraId="548BB52A">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材料适配性</w:t>
      </w:r>
      <w:r>
        <w:rPr>
          <w:rFonts w:ascii="宋体" w:hAnsi="宋体" w:eastAsia="宋体" w:cs="宋体"/>
          <w:b w:val="0"/>
          <w:i w:val="0"/>
          <w:spacing w:val="0"/>
          <w:sz w:val="24"/>
        </w:rPr>
        <w:t>：选用适合主题且易于维护的材料，避免使用难以长期保存或影响水质的劣质材料</w:t>
      </w:r>
    </w:p>
    <w:p w14:paraId="03956D97">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技术创新性</w:t>
      </w:r>
      <w:r>
        <w:rPr>
          <w:rFonts w:ascii="宋体" w:hAnsi="宋体" w:eastAsia="宋体" w:cs="宋体"/>
          <w:b w:val="0"/>
          <w:i w:val="0"/>
          <w:spacing w:val="0"/>
          <w:sz w:val="24"/>
        </w:rPr>
        <w:t>：在传统造景技术基础上，引入新材料、新设备或新方法，如智能水质监测系统、微生物降解技术等</w:t>
      </w:r>
    </w:p>
    <w:p w14:paraId="4994F57C">
      <w:pPr>
        <w:pageBreakBefore w:val="0"/>
        <w:numPr>
          <w:ilvl w:val="0"/>
          <w:numId w:val="18"/>
        </w:numPr>
        <w:wordWrap/>
        <w:spacing w:before="160" w:after="0"/>
        <w:ind w:left="440" w:right="0" w:hanging="440"/>
        <w:jc w:val="left"/>
        <w:textAlignment w:val="auto"/>
        <w:rPr>
          <w:sz w:val="24"/>
        </w:rPr>
      </w:pPr>
      <w:r>
        <w:rPr>
          <w:rFonts w:ascii="宋体" w:hAnsi="宋体" w:eastAsia="宋体" w:cs="宋体"/>
          <w:b/>
          <w:i w:val="0"/>
          <w:spacing w:val="0"/>
          <w:sz w:val="24"/>
        </w:rPr>
        <w:t>操作简便性</w:t>
      </w:r>
      <w:r>
        <w:rPr>
          <w:rFonts w:ascii="宋体" w:hAnsi="宋体" w:eastAsia="宋体" w:cs="宋体"/>
          <w:b w:val="0"/>
          <w:i w:val="0"/>
          <w:spacing w:val="0"/>
          <w:sz w:val="24"/>
        </w:rPr>
        <w:t>：设计易于操作和维护的系统，降低日常管理难度，提高作品的实用价值</w:t>
      </w:r>
    </w:p>
    <w:p w14:paraId="3B5D97ED">
      <w:pPr>
        <w:pageBreakBefore w:val="0"/>
        <w:wordWrap/>
        <w:spacing w:before="160" w:after="0"/>
        <w:ind w:left="0" w:right="0"/>
        <w:jc w:val="left"/>
        <w:textAlignment w:val="auto"/>
        <w:rPr>
          <w:sz w:val="24"/>
        </w:rPr>
      </w:pPr>
      <w:r>
        <w:rPr>
          <w:rFonts w:ascii="宋体" w:hAnsi="宋体" w:eastAsia="宋体" w:cs="宋体"/>
          <w:b/>
          <w:i w:val="0"/>
          <w:spacing w:val="0"/>
          <w:sz w:val="24"/>
        </w:rPr>
        <w:t>展示效果：视觉冲击力与故事性</w:t>
      </w:r>
      <w:r>
        <w:rPr>
          <w:rFonts w:ascii="宋体" w:hAnsi="宋体" w:eastAsia="宋体" w:cs="宋体"/>
          <w:b w:val="0"/>
          <w:i w:val="0"/>
          <w:spacing w:val="0"/>
          <w:sz w:val="24"/>
        </w:rPr>
        <w:t>。展示效果是决定作品能否获得评委认可的关键因素。成功的获奖作品通常在以下几个方面具有优势：</w:t>
      </w:r>
    </w:p>
    <w:p w14:paraId="2A430C07">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视觉冲击力</w:t>
      </w:r>
      <w:r>
        <w:rPr>
          <w:rFonts w:ascii="宋体" w:hAnsi="宋体" w:eastAsia="宋体" w:cs="宋体"/>
          <w:b w:val="0"/>
          <w:i w:val="0"/>
          <w:spacing w:val="0"/>
          <w:sz w:val="24"/>
        </w:rPr>
        <w:t>：通过色彩对比、光影效果和层次感设计，创造出强烈的视觉冲击力</w:t>
      </w:r>
    </w:p>
    <w:p w14:paraId="44F0764C">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故事性表达</w:t>
      </w:r>
      <w:r>
        <w:rPr>
          <w:rFonts w:ascii="宋体" w:hAnsi="宋体" w:eastAsia="宋体" w:cs="宋体"/>
          <w:b w:val="0"/>
          <w:i w:val="0"/>
          <w:spacing w:val="0"/>
          <w:sz w:val="24"/>
        </w:rPr>
        <w:t>：能够通过作品传递一个完整的故事或理念，让评委和观众能够与作品产生情感共鸣</w:t>
      </w:r>
    </w:p>
    <w:p w14:paraId="3B8AE1E4">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PPT结构清晰</w:t>
      </w:r>
      <w:r>
        <w:rPr>
          <w:rFonts w:ascii="宋体" w:hAnsi="宋体" w:eastAsia="宋体" w:cs="宋体"/>
          <w:b w:val="0"/>
          <w:i w:val="0"/>
          <w:spacing w:val="0"/>
          <w:sz w:val="24"/>
        </w:rPr>
        <w:t>：在答辩环节中，PPT需结构清晰、内容丰富，能够全面展示作品的设计理念、技术细节和艺术价值</w:t>
      </w:r>
    </w:p>
    <w:p w14:paraId="6E6513CC">
      <w:pPr>
        <w:pageBreakBefore w:val="0"/>
        <w:numPr>
          <w:ilvl w:val="0"/>
          <w:numId w:val="19"/>
        </w:numPr>
        <w:wordWrap/>
        <w:spacing w:before="160" w:after="0"/>
        <w:ind w:left="440" w:right="0" w:hanging="440"/>
        <w:jc w:val="left"/>
        <w:textAlignment w:val="auto"/>
        <w:rPr>
          <w:sz w:val="24"/>
        </w:rPr>
      </w:pPr>
      <w:r>
        <w:rPr>
          <w:rFonts w:ascii="宋体" w:hAnsi="宋体" w:eastAsia="宋体" w:cs="宋体"/>
          <w:b/>
          <w:i w:val="0"/>
          <w:spacing w:val="0"/>
          <w:sz w:val="24"/>
        </w:rPr>
        <w:t>陈述技巧专业</w:t>
      </w:r>
      <w:r>
        <w:rPr>
          <w:rFonts w:ascii="宋体" w:hAnsi="宋体" w:eastAsia="宋体" w:cs="宋体"/>
          <w:b w:val="0"/>
          <w:i w:val="0"/>
          <w:spacing w:val="0"/>
          <w:sz w:val="24"/>
        </w:rPr>
        <w:t>：选手需具备专业的陈述技巧，能够在有限时间内（通常为5分钟）准确传达作品的核心价值与创新点</w:t>
      </w:r>
    </w:p>
    <w:p w14:paraId="0ED3980A">
      <w:pPr>
        <w:pageBreakBefore w:val="0"/>
        <w:wordWrap/>
        <w:spacing w:before="160" w:after="0"/>
        <w:ind w:left="0" w:right="0"/>
        <w:jc w:val="left"/>
        <w:textAlignment w:val="auto"/>
        <w:rPr>
          <w:rFonts w:ascii="宋体" w:hAnsi="宋体" w:eastAsia="宋体" w:cs="宋体"/>
          <w:b/>
          <w:i w:val="0"/>
          <w:spacing w:val="0"/>
          <w:sz w:val="24"/>
        </w:rPr>
      </w:pPr>
    </w:p>
    <w:p w14:paraId="5AB9E3EB">
      <w:pPr>
        <w:pageBreakBefore w:val="0"/>
        <w:wordWrap/>
        <w:spacing w:before="160" w:after="0"/>
        <w:ind w:left="0" w:right="0"/>
        <w:jc w:val="left"/>
        <w:textAlignment w:val="auto"/>
        <w:rPr>
          <w:sz w:val="24"/>
        </w:rPr>
      </w:pPr>
      <w:r>
        <w:rPr>
          <w:rFonts w:ascii="宋体" w:hAnsi="宋体" w:eastAsia="宋体" w:cs="宋体"/>
          <w:b/>
          <w:i w:val="0"/>
          <w:spacing w:val="0"/>
          <w:sz w:val="24"/>
        </w:rPr>
        <w:t>9.4.3 失败案例反思与避坑指南</w:t>
      </w:r>
    </w:p>
    <w:p w14:paraId="25FAE4DA">
      <w:pPr>
        <w:pageBreakBefore w:val="0"/>
        <w:wordWrap/>
        <w:spacing w:before="160" w:after="0"/>
        <w:ind w:left="0" w:right="0"/>
        <w:jc w:val="left"/>
        <w:textAlignment w:val="auto"/>
        <w:rPr>
          <w:sz w:val="24"/>
        </w:rPr>
      </w:pPr>
      <w:r>
        <w:rPr>
          <w:rFonts w:ascii="宋体" w:hAnsi="宋体" w:eastAsia="宋体" w:cs="宋体"/>
          <w:b w:val="0"/>
          <w:i w:val="0"/>
          <w:spacing w:val="0"/>
          <w:sz w:val="24"/>
        </w:rPr>
        <w:t>水族造景赛事中，失败案例往往能为参赛者提供宝贵的经验教训。以下是水族造景赛事中常见的失败原因及应对策略：</w:t>
      </w:r>
    </w:p>
    <w:p w14:paraId="638179B9">
      <w:pPr>
        <w:pageBreakBefore w:val="0"/>
        <w:wordWrap/>
        <w:spacing w:before="160" w:after="0"/>
        <w:ind w:left="0" w:right="0"/>
        <w:jc w:val="left"/>
        <w:textAlignment w:val="auto"/>
        <w:rPr>
          <w:sz w:val="24"/>
        </w:rPr>
      </w:pPr>
      <w:r>
        <w:rPr>
          <w:rFonts w:ascii="宋体" w:hAnsi="宋体" w:eastAsia="宋体" w:cs="宋体"/>
          <w:b/>
          <w:i w:val="0"/>
          <w:spacing w:val="0"/>
          <w:sz w:val="24"/>
        </w:rPr>
        <w:t>常见问题</w:t>
      </w:r>
      <w:r>
        <w:rPr>
          <w:rFonts w:ascii="宋体" w:hAnsi="宋体" w:eastAsia="宋体" w:cs="宋体"/>
          <w:b w:val="0"/>
          <w:i w:val="0"/>
          <w:spacing w:val="0"/>
          <w:sz w:val="24"/>
        </w:rPr>
        <w:t>：</w:t>
      </w:r>
    </w:p>
    <w:p w14:paraId="10942505">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生态失衡</w:t>
      </w:r>
      <w:r>
        <w:rPr>
          <w:rFonts w:ascii="宋体" w:hAnsi="宋体" w:eastAsia="宋体" w:cs="宋体"/>
          <w:b w:val="0"/>
          <w:i w:val="0"/>
          <w:spacing w:val="0"/>
          <w:sz w:val="24"/>
        </w:rPr>
        <w:t>：这是最常见的失败原因，表现为藻类爆发、水草腐烂、生物死亡等。这些问题通常源于生物密度过高、光照与CO₂配比不当、过滤系统设计不合理等。</w:t>
      </w:r>
    </w:p>
    <w:p w14:paraId="5B6A25AD">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超时超预算</w:t>
      </w:r>
      <w:r>
        <w:rPr>
          <w:rFonts w:ascii="宋体" w:hAnsi="宋体" w:eastAsia="宋体" w:cs="宋体"/>
          <w:b w:val="0"/>
          <w:i w:val="0"/>
          <w:spacing w:val="0"/>
          <w:sz w:val="24"/>
        </w:rPr>
        <w:t>：在有限时间内完成高质量作品具有挑战性，超时或超预算可能导致作品无法完成或质量下降。</w:t>
      </w:r>
    </w:p>
    <w:p w14:paraId="1B503B27">
      <w:pPr>
        <w:pageBreakBefore w:val="0"/>
        <w:numPr>
          <w:ilvl w:val="0"/>
          <w:numId w:val="20"/>
        </w:numPr>
        <w:wordWrap/>
        <w:spacing w:before="160" w:after="0"/>
        <w:ind w:left="440" w:right="0" w:hanging="440"/>
        <w:jc w:val="left"/>
        <w:textAlignment w:val="auto"/>
        <w:rPr>
          <w:sz w:val="24"/>
        </w:rPr>
      </w:pPr>
      <w:r>
        <w:rPr>
          <w:rFonts w:ascii="宋体" w:hAnsi="宋体" w:eastAsia="宋体" w:cs="宋体"/>
          <w:b/>
          <w:i w:val="0"/>
          <w:spacing w:val="0"/>
          <w:sz w:val="24"/>
        </w:rPr>
        <w:t>技术细节缺陷</w:t>
      </w:r>
      <w:r>
        <w:rPr>
          <w:rFonts w:ascii="宋体" w:hAnsi="宋体" w:eastAsia="宋体" w:cs="宋体"/>
          <w:b w:val="0"/>
          <w:i w:val="0"/>
          <w:spacing w:val="0"/>
          <w:sz w:val="24"/>
        </w:rPr>
        <w:t>：如沉木固定不牢、水草种植过密、设备参数设置不当等，这些细节问题可能导致作品在展示阶段出现问题。</w:t>
      </w:r>
    </w:p>
    <w:p w14:paraId="7128A338">
      <w:pPr>
        <w:pageBreakBefore w:val="0"/>
        <w:wordWrap/>
        <w:spacing w:before="160" w:after="0"/>
        <w:ind w:left="0" w:right="0"/>
        <w:jc w:val="left"/>
        <w:textAlignment w:val="auto"/>
        <w:rPr>
          <w:sz w:val="24"/>
        </w:rPr>
      </w:pPr>
      <w:r>
        <w:rPr>
          <w:rFonts w:ascii="宋体" w:hAnsi="宋体" w:eastAsia="宋体" w:cs="宋体"/>
          <w:b/>
          <w:i w:val="0"/>
          <w:spacing w:val="0"/>
          <w:sz w:val="24"/>
        </w:rPr>
        <w:t>改进策略</w:t>
      </w:r>
      <w:r>
        <w:rPr>
          <w:rFonts w:ascii="宋体" w:hAnsi="宋体" w:eastAsia="宋体" w:cs="宋体"/>
          <w:b w:val="0"/>
          <w:i w:val="0"/>
          <w:spacing w:val="0"/>
          <w:sz w:val="24"/>
        </w:rPr>
        <w:t>：</w:t>
      </w:r>
    </w:p>
    <w:p w14:paraId="2E8793F9">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前期测试</w:t>
      </w:r>
      <w:r>
        <w:rPr>
          <w:rFonts w:ascii="宋体" w:hAnsi="宋体" w:eastAsia="宋体" w:cs="宋体"/>
          <w:b w:val="0"/>
          <w:i w:val="0"/>
          <w:spacing w:val="0"/>
          <w:sz w:val="24"/>
        </w:rPr>
        <w:t>：在正式比赛前，应进行小型测试，验证生态系统设计的合理性与可行性。如西南大学获奖团队在备赛期间就进行了多次小型试验，调整了生物配比和过滤系统设计。</w:t>
      </w:r>
    </w:p>
    <w:p w14:paraId="68A188E3">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风险评估</w:t>
      </w:r>
      <w:r>
        <w:rPr>
          <w:rFonts w:ascii="宋体" w:hAnsi="宋体" w:eastAsia="宋体" w:cs="宋体"/>
          <w:b w:val="0"/>
          <w:i w:val="0"/>
          <w:spacing w:val="0"/>
          <w:sz w:val="24"/>
        </w:rPr>
        <w:t>：对作品可能面临的风险进行评估，并制定相应的应急预案。如材料准备不足、设备故障、生物死亡等情况的应对措施。</w:t>
      </w:r>
    </w:p>
    <w:p w14:paraId="2CC76B9B">
      <w:pPr>
        <w:pageBreakBefore w:val="0"/>
        <w:numPr>
          <w:ilvl w:val="0"/>
          <w:numId w:val="21"/>
        </w:numPr>
        <w:wordWrap/>
        <w:spacing w:before="160" w:after="0"/>
        <w:ind w:left="440" w:right="0" w:hanging="440"/>
        <w:jc w:val="left"/>
        <w:textAlignment w:val="auto"/>
        <w:rPr>
          <w:sz w:val="24"/>
        </w:rPr>
      </w:pPr>
      <w:r>
        <w:rPr>
          <w:rFonts w:ascii="宋体" w:hAnsi="宋体" w:eastAsia="宋体" w:cs="宋体"/>
          <w:b/>
          <w:i w:val="0"/>
          <w:spacing w:val="0"/>
          <w:sz w:val="24"/>
        </w:rPr>
        <w:t>团队协作优化</w:t>
      </w:r>
      <w:r>
        <w:rPr>
          <w:rFonts w:ascii="宋体" w:hAnsi="宋体" w:eastAsia="宋体" w:cs="宋体"/>
          <w:b w:val="0"/>
          <w:i w:val="0"/>
          <w:spacing w:val="0"/>
          <w:sz w:val="24"/>
        </w:rPr>
        <w:t>：明确团队成员分工，建立有效的沟通机制，确保在有限时间内高效完成作品。如安徽农业大学团队通过明确的分工与协作，成功完成了多个高质量作品。</w:t>
      </w:r>
    </w:p>
    <w:p w14:paraId="23A55782">
      <w:pPr>
        <w:pageBreakBefore w:val="0"/>
        <w:wordWrap/>
        <w:spacing w:before="160" w:after="0"/>
        <w:ind w:left="0" w:right="0"/>
        <w:jc w:val="left"/>
        <w:textAlignment w:val="auto"/>
        <w:rPr>
          <w:sz w:val="24"/>
        </w:rPr>
      </w:pPr>
      <w:r>
        <w:rPr>
          <w:rFonts w:ascii="宋体" w:hAnsi="宋体" w:eastAsia="宋体" w:cs="宋体"/>
          <w:b/>
          <w:i w:val="0"/>
          <w:spacing w:val="0"/>
          <w:sz w:val="24"/>
        </w:rPr>
        <w:t>避坑指南</w:t>
      </w:r>
      <w:r>
        <w:rPr>
          <w:rFonts w:ascii="宋体" w:hAnsi="宋体" w:eastAsia="宋体" w:cs="宋体"/>
          <w:b w:val="0"/>
          <w:i w:val="0"/>
          <w:spacing w:val="0"/>
          <w:sz w:val="24"/>
        </w:rPr>
        <w:t>：</w:t>
      </w:r>
    </w:p>
    <w:p w14:paraId="1B383E9B">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避免物种混搭错误</w:t>
      </w:r>
      <w:r>
        <w:rPr>
          <w:rFonts w:ascii="宋体" w:hAnsi="宋体" w:eastAsia="宋体" w:cs="宋体"/>
          <w:b w:val="0"/>
          <w:i w:val="0"/>
          <w:spacing w:val="0"/>
          <w:sz w:val="24"/>
        </w:rPr>
        <w:t>：如将南美亚马逊流域的鱼类与中国的溪流水草混搭，这种不符合自然生态的组合会被评委严格扣分。</w:t>
      </w:r>
    </w:p>
    <w:p w14:paraId="30990BA4">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注意装饰物密度</w:t>
      </w:r>
      <w:r>
        <w:rPr>
          <w:rFonts w:ascii="宋体" w:hAnsi="宋体" w:eastAsia="宋体" w:cs="宋体"/>
          <w:b w:val="0"/>
          <w:i w:val="0"/>
          <w:spacing w:val="0"/>
          <w:sz w:val="24"/>
        </w:rPr>
        <w:t>：过多的装饰物会阻挡光线，影响水草光合作用，同时增加维护难度。</w:t>
      </w:r>
    </w:p>
    <w:p w14:paraId="1B5EFCCD">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确保设备匹配度</w:t>
      </w:r>
      <w:r>
        <w:rPr>
          <w:rFonts w:ascii="宋体" w:hAnsi="宋体" w:eastAsia="宋体" w:cs="宋体"/>
          <w:b w:val="0"/>
          <w:i w:val="0"/>
          <w:spacing w:val="0"/>
          <w:sz w:val="24"/>
        </w:rPr>
        <w:t>：过滤器功率、水泵流量等设备参数需与水族箱大小、生物密度相匹配，避免设备不匹配导致的水质问题。</w:t>
      </w:r>
    </w:p>
    <w:p w14:paraId="5C578348">
      <w:pPr>
        <w:pageBreakBefore w:val="0"/>
        <w:numPr>
          <w:ilvl w:val="0"/>
          <w:numId w:val="22"/>
        </w:numPr>
        <w:wordWrap/>
        <w:spacing w:before="160" w:after="0"/>
        <w:ind w:left="440" w:right="0" w:hanging="440"/>
        <w:jc w:val="left"/>
        <w:textAlignment w:val="auto"/>
        <w:rPr>
          <w:sz w:val="24"/>
        </w:rPr>
      </w:pPr>
      <w:r>
        <w:rPr>
          <w:rFonts w:ascii="宋体" w:hAnsi="宋体" w:eastAsia="宋体" w:cs="宋体"/>
          <w:b/>
          <w:i w:val="0"/>
          <w:spacing w:val="0"/>
          <w:sz w:val="24"/>
        </w:rPr>
        <w:t>重视后期维护</w:t>
      </w:r>
      <w:r>
        <w:rPr>
          <w:rFonts w:ascii="宋体" w:hAnsi="宋体" w:eastAsia="宋体" w:cs="宋体"/>
          <w:b w:val="0"/>
          <w:i w:val="0"/>
          <w:spacing w:val="0"/>
          <w:sz w:val="24"/>
        </w:rPr>
        <w:t>：水族造景不是一次性作品，其长期稳定性同样重要。在设计时应充分考虑后期维护的便利性与可行性。</w:t>
      </w:r>
    </w:p>
    <w:p w14:paraId="52AC0699">
      <w:pPr>
        <w:pageBreakBefore w:val="0"/>
        <w:wordWrap/>
        <w:spacing w:before="160" w:after="0"/>
        <w:ind w:left="0" w:right="0"/>
        <w:jc w:val="left"/>
        <w:textAlignment w:val="auto"/>
        <w:rPr>
          <w:rFonts w:ascii="宋体" w:hAnsi="宋体" w:eastAsia="宋体" w:cs="宋体"/>
          <w:b/>
          <w:i w:val="0"/>
          <w:spacing w:val="0"/>
          <w:sz w:val="28"/>
        </w:rPr>
      </w:pPr>
    </w:p>
    <w:p w14:paraId="5C8161AD">
      <w:pPr>
        <w:pageBreakBefore w:val="0"/>
        <w:wordWrap/>
        <w:spacing w:before="160" w:after="0"/>
        <w:ind w:left="0" w:right="0"/>
        <w:jc w:val="left"/>
        <w:textAlignment w:val="auto"/>
        <w:rPr>
          <w:sz w:val="28"/>
        </w:rPr>
      </w:pPr>
      <w:r>
        <w:rPr>
          <w:rFonts w:ascii="宋体" w:hAnsi="宋体" w:eastAsia="宋体" w:cs="宋体"/>
          <w:b/>
          <w:i w:val="0"/>
          <w:spacing w:val="0"/>
          <w:sz w:val="28"/>
        </w:rPr>
        <w:t>9.5 赛事对大学生的多维影响</w:t>
      </w:r>
    </w:p>
    <w:p w14:paraId="4D53BA11">
      <w:pPr>
        <w:pageBreakBefore w:val="0"/>
        <w:wordWrap/>
        <w:spacing w:before="160" w:after="0"/>
        <w:ind w:left="0" w:right="0"/>
        <w:jc w:val="left"/>
        <w:textAlignment w:val="auto"/>
        <w:rPr>
          <w:sz w:val="24"/>
        </w:rPr>
      </w:pPr>
      <w:r>
        <w:rPr>
          <w:rFonts w:ascii="宋体" w:hAnsi="宋体" w:eastAsia="宋体" w:cs="宋体"/>
          <w:b/>
          <w:i w:val="0"/>
          <w:spacing w:val="0"/>
          <w:sz w:val="24"/>
        </w:rPr>
        <w:t>9.5.1 个人能力提升</w:t>
      </w:r>
    </w:p>
    <w:p w14:paraId="41711088">
      <w:pPr>
        <w:pageBreakBefore w:val="0"/>
        <w:wordWrap/>
        <w:spacing w:before="160" w:after="0"/>
        <w:ind w:left="0" w:right="0"/>
        <w:jc w:val="left"/>
        <w:textAlignment w:val="auto"/>
        <w:rPr>
          <w:sz w:val="24"/>
        </w:rPr>
      </w:pPr>
      <w:r>
        <w:rPr>
          <w:rFonts w:ascii="宋体" w:hAnsi="宋体" w:eastAsia="宋体" w:cs="宋体"/>
          <w:b/>
          <w:i w:val="0"/>
          <w:spacing w:val="0"/>
          <w:sz w:val="24"/>
        </w:rPr>
        <w:t>硬技能提升</w:t>
      </w:r>
      <w:r>
        <w:rPr>
          <w:rFonts w:ascii="宋体" w:hAnsi="宋体" w:eastAsia="宋体" w:cs="宋体"/>
          <w:b w:val="0"/>
          <w:i w:val="0"/>
          <w:spacing w:val="0"/>
          <w:sz w:val="24"/>
        </w:rPr>
        <w:t>：水族造景赛事对参赛者的硬技能提升主要体现在以下几个方面：</w:t>
      </w:r>
    </w:p>
    <w:p w14:paraId="46818D01">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设计能力</w:t>
      </w:r>
      <w:r>
        <w:rPr>
          <w:rFonts w:ascii="宋体" w:hAnsi="宋体" w:eastAsia="宋体" w:cs="宋体"/>
          <w:b w:val="0"/>
          <w:i w:val="0"/>
          <w:spacing w:val="0"/>
          <w:sz w:val="24"/>
        </w:rPr>
        <w:t>：通过赛事，学生能够掌握水族造景的基本构图形式（凹形、凸型、三角形等），学习黄金分割、焦点透视等构图技法，提升三维空间的多视角设计能力。如集美大学校赛要求选手在PPT中展示作品设计图及硬景观图，促使学生系统学习设计理论与方法。</w:t>
      </w:r>
    </w:p>
    <w:p w14:paraId="14C954E8">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施工能力</w:t>
      </w:r>
      <w:r>
        <w:rPr>
          <w:rFonts w:ascii="宋体" w:hAnsi="宋体" w:eastAsia="宋体" w:cs="宋体"/>
          <w:b w:val="0"/>
          <w:i w:val="0"/>
          <w:spacing w:val="0"/>
          <w:sz w:val="24"/>
        </w:rPr>
        <w:t>：赛事要求学生在有限时间内完成硬景观搭建和水草种植，锻炼了学生的实际操作能力。如2025年集美大学水族箱造景技能大赛决赛要求选手在1小时内完成60缸的硬景观搭建，这对学生的动手能力和时间管理能力提出了极高要求。</w:t>
      </w:r>
    </w:p>
    <w:p w14:paraId="42DCE725">
      <w:pPr>
        <w:pageBreakBefore w:val="0"/>
        <w:numPr>
          <w:ilvl w:val="0"/>
          <w:numId w:val="23"/>
        </w:numPr>
        <w:wordWrap/>
        <w:spacing w:before="160" w:after="0"/>
        <w:ind w:left="440" w:right="0" w:hanging="440"/>
        <w:jc w:val="left"/>
        <w:textAlignment w:val="auto"/>
        <w:rPr>
          <w:sz w:val="24"/>
        </w:rPr>
      </w:pPr>
      <w:r>
        <w:rPr>
          <w:rFonts w:ascii="宋体" w:hAnsi="宋体" w:eastAsia="宋体" w:cs="宋体"/>
          <w:b/>
          <w:i w:val="0"/>
          <w:spacing w:val="0"/>
          <w:sz w:val="24"/>
        </w:rPr>
        <w:t>生态管理技术</w:t>
      </w:r>
      <w:r>
        <w:rPr>
          <w:rFonts w:ascii="宋体" w:hAnsi="宋体" w:eastAsia="宋体" w:cs="宋体"/>
          <w:b w:val="0"/>
          <w:i w:val="0"/>
          <w:spacing w:val="0"/>
          <w:sz w:val="24"/>
        </w:rPr>
        <w:t>：赛事强调生态平衡与系统稳定性，促使学生深入学习水质管理、硝化系统构建、藻类控制等生态管理技术。如西南大学获奖团队《归墟》采用了微生物降解系统和智能监测模块，体现了其在生态管理技术上的专业素养。</w:t>
      </w:r>
    </w:p>
    <w:p w14:paraId="02448540">
      <w:pPr>
        <w:pageBreakBefore w:val="0"/>
        <w:wordWrap/>
        <w:spacing w:before="160" w:after="0"/>
        <w:ind w:left="0" w:right="0"/>
        <w:jc w:val="left"/>
        <w:textAlignment w:val="auto"/>
        <w:rPr>
          <w:sz w:val="24"/>
        </w:rPr>
      </w:pPr>
      <w:r>
        <w:rPr>
          <w:rFonts w:ascii="宋体" w:hAnsi="宋体" w:eastAsia="宋体" w:cs="宋体"/>
          <w:b/>
          <w:i w:val="0"/>
          <w:spacing w:val="0"/>
          <w:sz w:val="24"/>
        </w:rPr>
        <w:t>软技能提升</w:t>
      </w:r>
      <w:r>
        <w:rPr>
          <w:rFonts w:ascii="宋体" w:hAnsi="宋体" w:eastAsia="宋体" w:cs="宋体"/>
          <w:b w:val="0"/>
          <w:i w:val="0"/>
          <w:spacing w:val="0"/>
          <w:sz w:val="24"/>
        </w:rPr>
        <w:t>：除硬技能外，赛事还培养了学生的多种软技能：</w:t>
      </w:r>
    </w:p>
    <w:p w14:paraId="229A3A8E">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项目管理能力</w:t>
      </w:r>
      <w:r>
        <w:rPr>
          <w:rFonts w:ascii="宋体" w:hAnsi="宋体" w:eastAsia="宋体" w:cs="宋体"/>
          <w:b w:val="0"/>
          <w:i w:val="0"/>
          <w:spacing w:val="0"/>
          <w:sz w:val="24"/>
        </w:rPr>
        <w:t>：从选题、设计到布景、维护，学生需要管理整个项目周期，制定时间表，分配任务，协调资源，这大大提升了学生的项目管理能力。</w:t>
      </w:r>
    </w:p>
    <w:p w14:paraId="7C89163A">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团队协作能力</w:t>
      </w:r>
      <w:r>
        <w:rPr>
          <w:rFonts w:ascii="宋体" w:hAnsi="宋体" w:eastAsia="宋体" w:cs="宋体"/>
          <w:b w:val="0"/>
          <w:i w:val="0"/>
          <w:spacing w:val="0"/>
          <w:sz w:val="24"/>
        </w:rPr>
        <w:t>：跨专业团队需要有效沟通与协作，学生需学会在不同专业背景的成员间建立共识，合理分配任务，共同解决问题。如安徽农业大学水产养殖和水生动物医学专业学生组成的团队，通过有效协作获得了多个奖项。</w:t>
      </w:r>
    </w:p>
    <w:p w14:paraId="6A6FDD03">
      <w:pPr>
        <w:pageBreakBefore w:val="0"/>
        <w:numPr>
          <w:ilvl w:val="0"/>
          <w:numId w:val="24"/>
        </w:numPr>
        <w:wordWrap/>
        <w:spacing w:before="160" w:after="0"/>
        <w:ind w:left="440" w:right="0" w:hanging="440"/>
        <w:jc w:val="left"/>
        <w:textAlignment w:val="auto"/>
        <w:rPr>
          <w:sz w:val="24"/>
        </w:rPr>
      </w:pPr>
      <w:r>
        <w:rPr>
          <w:rFonts w:ascii="宋体" w:hAnsi="宋体" w:eastAsia="宋体" w:cs="宋体"/>
          <w:b/>
          <w:i w:val="0"/>
          <w:spacing w:val="0"/>
          <w:sz w:val="24"/>
        </w:rPr>
        <w:t>问题解决能力</w:t>
      </w:r>
      <w:r>
        <w:rPr>
          <w:rFonts w:ascii="宋体" w:hAnsi="宋体" w:eastAsia="宋体" w:cs="宋体"/>
          <w:b w:val="0"/>
          <w:i w:val="0"/>
          <w:spacing w:val="0"/>
          <w:sz w:val="24"/>
        </w:rPr>
        <w:t>：赛事过程中常会遇到各种突发问题，如水质突变、材料不足、时间紧迫等，学生需要快速思考并提出解决方案，这培养了他们的应变能力和创新思维。</w:t>
      </w:r>
    </w:p>
    <w:p w14:paraId="1F2CB4DE">
      <w:pPr>
        <w:pageBreakBefore w:val="0"/>
        <w:wordWrap/>
        <w:spacing w:before="160" w:after="0"/>
        <w:ind w:left="0" w:right="0"/>
        <w:jc w:val="left"/>
        <w:textAlignment w:val="auto"/>
        <w:rPr>
          <w:sz w:val="24"/>
        </w:rPr>
      </w:pPr>
      <w:r>
        <w:rPr>
          <w:rFonts w:ascii="宋体" w:hAnsi="宋体" w:eastAsia="宋体" w:cs="宋体"/>
          <w:b/>
          <w:i w:val="0"/>
          <w:spacing w:val="0"/>
          <w:sz w:val="24"/>
        </w:rPr>
        <w:t>9.5.2 职业发展助力</w:t>
      </w:r>
    </w:p>
    <w:p w14:paraId="59886533">
      <w:pPr>
        <w:pageBreakBefore w:val="0"/>
        <w:wordWrap/>
        <w:spacing w:before="160" w:after="0"/>
        <w:ind w:left="0" w:right="0"/>
        <w:jc w:val="left"/>
        <w:textAlignment w:val="auto"/>
        <w:rPr>
          <w:sz w:val="24"/>
        </w:rPr>
      </w:pPr>
      <w:r>
        <w:rPr>
          <w:rFonts w:ascii="宋体" w:hAnsi="宋体" w:eastAsia="宋体" w:cs="宋体"/>
          <w:b/>
          <w:i w:val="0"/>
          <w:spacing w:val="0"/>
          <w:sz w:val="24"/>
        </w:rPr>
        <w:t>行业人脉积累</w:t>
      </w:r>
      <w:r>
        <w:rPr>
          <w:rFonts w:ascii="宋体" w:hAnsi="宋体" w:eastAsia="宋体" w:cs="宋体"/>
          <w:b w:val="0"/>
          <w:i w:val="0"/>
          <w:spacing w:val="0"/>
          <w:sz w:val="24"/>
        </w:rPr>
        <w:t>：水族造景赛事为学生提供了与行业专家、企业代表交流的机会，有助于积累人脉资源。如第八届全国大赛期间，组委会邀请了中国知名造景师林齐、孙家辉进行"大师秀"表演，学生可通过这一平台向行业专家学习。同时，赛事还为学生提供了与企业代表接触的机会，如尼特利技术有限公司、镭明士科技等企业为大赛提供设备支持，学生可通过赛事了解行业前沿动态。</w:t>
      </w:r>
    </w:p>
    <w:p w14:paraId="65BCDA7E">
      <w:pPr>
        <w:pageBreakBefore w:val="0"/>
        <w:wordWrap/>
        <w:spacing w:before="160" w:after="0"/>
        <w:ind w:left="0" w:right="0"/>
        <w:jc w:val="left"/>
        <w:textAlignment w:val="auto"/>
        <w:rPr>
          <w:sz w:val="24"/>
        </w:rPr>
      </w:pPr>
      <w:r>
        <w:rPr>
          <w:rFonts w:ascii="宋体" w:hAnsi="宋体" w:eastAsia="宋体" w:cs="宋体"/>
          <w:b/>
          <w:i w:val="0"/>
          <w:spacing w:val="0"/>
          <w:sz w:val="24"/>
        </w:rPr>
        <w:t>就业竞争力提升</w:t>
      </w:r>
      <w:r>
        <w:rPr>
          <w:rFonts w:ascii="宋体" w:hAnsi="宋体" w:eastAsia="宋体" w:cs="宋体"/>
          <w:b w:val="0"/>
          <w:i w:val="0"/>
          <w:spacing w:val="0"/>
          <w:sz w:val="24"/>
        </w:rPr>
        <w:t>：获奖作品和参赛经验能够显著提升学生的就业竞争力。一方面，获奖证书是学生专业能力的重要证明，受到用人单位青睐；另一方面，作品集成为学生求职的有力工具，能够直观展示其设计能力与专业素养。此外，赛事过程中积累的项目管理、团队协作和问题解决能力，也是用人单位看重的软实力。</w:t>
      </w:r>
    </w:p>
    <w:p w14:paraId="07212F98">
      <w:pPr>
        <w:pageBreakBefore w:val="0"/>
        <w:wordWrap/>
        <w:spacing w:before="160" w:after="0"/>
        <w:ind w:left="0" w:right="0"/>
        <w:jc w:val="left"/>
        <w:textAlignment w:val="auto"/>
        <w:rPr>
          <w:sz w:val="24"/>
        </w:rPr>
      </w:pPr>
      <w:r>
        <w:rPr>
          <w:rFonts w:ascii="宋体" w:hAnsi="宋体" w:eastAsia="宋体" w:cs="宋体"/>
          <w:b/>
          <w:i w:val="0"/>
          <w:spacing w:val="0"/>
          <w:sz w:val="24"/>
        </w:rPr>
        <w:t>创业机会拓展</w:t>
      </w:r>
      <w:r>
        <w:rPr>
          <w:rFonts w:ascii="宋体" w:hAnsi="宋体" w:eastAsia="宋体" w:cs="宋体"/>
          <w:b w:val="0"/>
          <w:i w:val="0"/>
          <w:spacing w:val="0"/>
          <w:sz w:val="24"/>
        </w:rPr>
        <w:t>：水族造景赛事为有创业意向的学生提供了宝贵的商业机会。如扬州大学学生团队通过获奖作品《菩提一悟》开发出"懒人鱼缸"商业项目，实现了月销售额近万元，并获得了6项发明专利。安徽农业大学学生许阳、尤昆等通过赛事积累了丰富的水族造景经验，毕业后创办了"AND水族文化传播工作室"，成功将爱好转化为事业。此外，赛事还为学生提供了与企业合作的机会，如西南大学获奖团队与尼特利技术有限公司建立了合作关系，为其创业奠定了基础。</w:t>
      </w:r>
    </w:p>
    <w:p w14:paraId="38C5B1FE">
      <w:pPr>
        <w:pageBreakBefore w:val="0"/>
        <w:wordWrap/>
        <w:spacing w:before="160" w:after="0"/>
        <w:ind w:left="0" w:right="0"/>
        <w:jc w:val="left"/>
        <w:textAlignment w:val="auto"/>
        <w:rPr>
          <w:sz w:val="24"/>
        </w:rPr>
      </w:pPr>
      <w:r>
        <w:rPr>
          <w:rFonts w:ascii="宋体" w:hAnsi="宋体" w:eastAsia="宋体" w:cs="宋体"/>
          <w:b/>
          <w:i w:val="0"/>
          <w:spacing w:val="0"/>
          <w:sz w:val="24"/>
        </w:rPr>
        <w:t>9.5.3 教育价值与学科交叉</w:t>
      </w:r>
    </w:p>
    <w:p w14:paraId="328856ED">
      <w:pPr>
        <w:pageBreakBefore w:val="0"/>
        <w:wordWrap/>
        <w:spacing w:before="160" w:after="0"/>
        <w:ind w:left="0" w:right="0"/>
        <w:jc w:val="left"/>
        <w:textAlignment w:val="auto"/>
        <w:rPr>
          <w:sz w:val="24"/>
        </w:rPr>
      </w:pPr>
      <w:r>
        <w:rPr>
          <w:rFonts w:ascii="宋体" w:hAnsi="宋体" w:eastAsia="宋体" w:cs="宋体"/>
          <w:b/>
          <w:i w:val="0"/>
          <w:spacing w:val="0"/>
          <w:sz w:val="24"/>
        </w:rPr>
        <w:t>推动高校课程改革</w:t>
      </w:r>
      <w:r>
        <w:rPr>
          <w:rFonts w:ascii="宋体" w:hAnsi="宋体" w:eastAsia="宋体" w:cs="宋体"/>
          <w:b w:val="0"/>
          <w:i w:val="0"/>
          <w:spacing w:val="0"/>
          <w:sz w:val="24"/>
        </w:rPr>
        <w:t>：水族造景赛事已成为高校课程改革的重要推动力。许多高校已将水族造景纳入实践课程体系，如黑龙江生物科技职业学院建设的慕课"水族造景设计"，由李勇、孙辉等教师授课，为学生提供了系统的理论学习与实践指导。甘肃农业大学则通过"观赏水族养殖与景观设计美育实践系列活动"，将水族造景与美育教育相结合，培养学生的审美观念和价值观念。</w:t>
      </w:r>
    </w:p>
    <w:p w14:paraId="380295EF">
      <w:pPr>
        <w:pageBreakBefore w:val="0"/>
        <w:wordWrap/>
        <w:spacing w:before="160" w:after="0"/>
        <w:ind w:left="0" w:right="0"/>
        <w:jc w:val="left"/>
        <w:textAlignment w:val="auto"/>
        <w:rPr>
          <w:sz w:val="24"/>
        </w:rPr>
      </w:pPr>
      <w:r>
        <w:rPr>
          <w:rFonts w:ascii="宋体" w:hAnsi="宋体" w:eastAsia="宋体" w:cs="宋体"/>
          <w:b/>
          <w:i w:val="0"/>
          <w:spacing w:val="0"/>
          <w:sz w:val="24"/>
        </w:rPr>
        <w:t>促进跨学科项目开展</w:t>
      </w:r>
      <w:r>
        <w:rPr>
          <w:rFonts w:ascii="宋体" w:hAnsi="宋体" w:eastAsia="宋体" w:cs="宋体"/>
          <w:b w:val="0"/>
          <w:i w:val="0"/>
          <w:spacing w:val="0"/>
          <w:sz w:val="24"/>
        </w:rPr>
        <w:t>：赛事的跨学科特性促使高校开展更多跨学科项目。如水产学院与艺术学院联合举办水族造景工作坊，将生态学与美学教育有机结合。西南大学"利洋杯"水族箱造景技能大赛则由水产学院主办，鼓励不同专业学生组队参赛，促进了水产学与设计学的交叉融合。</w:t>
      </w:r>
    </w:p>
    <w:p w14:paraId="0884468B">
      <w:pPr>
        <w:pageBreakBefore w:val="0"/>
        <w:wordWrap/>
        <w:spacing w:before="160" w:after="0"/>
        <w:ind w:left="0" w:right="0"/>
        <w:jc w:val="left"/>
        <w:textAlignment w:val="auto"/>
        <w:rPr>
          <w:sz w:val="24"/>
        </w:rPr>
      </w:pPr>
      <w:r>
        <w:rPr>
          <w:rFonts w:ascii="宋体" w:hAnsi="宋体" w:eastAsia="宋体" w:cs="宋体"/>
          <w:b/>
          <w:i w:val="0"/>
          <w:spacing w:val="0"/>
          <w:sz w:val="24"/>
        </w:rPr>
        <w:t>产学研结合案例</w:t>
      </w:r>
      <w:r>
        <w:rPr>
          <w:rFonts w:ascii="宋体" w:hAnsi="宋体" w:eastAsia="宋体" w:cs="宋体"/>
          <w:b w:val="0"/>
          <w:i w:val="0"/>
          <w:spacing w:val="0"/>
          <w:sz w:val="24"/>
        </w:rPr>
        <w:t>：赛事为产学研结合提供了良好平台。如2026年第十届全国大学生水族箱造景技能大赛筹备研讨会上，工信部教育与考试中心刘明亮副主任、全国水产技术推广总站王虹人副处长等领导针对"AI赋能赛事升级"、"深化赛事与产教融合"等方面做了指导性发言，推动了赛事与产业发展的深度融合。信阳农林学院与尼特利技术有限公司的校企合作授牌仪式，标志着双方关系从单次活动升级为长期、稳定的战略伙伴，未来尼特利的先进设备、行业标准和实践经验将更系统性地融入教学环节。</w:t>
      </w:r>
    </w:p>
    <w:p w14:paraId="68D189FF">
      <w:pPr>
        <w:pageBreakBefore w:val="0"/>
        <w:wordWrap/>
        <w:spacing w:before="160" w:after="0"/>
        <w:ind w:left="0" w:right="0"/>
        <w:jc w:val="left"/>
        <w:textAlignment w:val="auto"/>
        <w:rPr>
          <w:sz w:val="28"/>
        </w:rPr>
      </w:pPr>
      <w:r>
        <w:rPr>
          <w:rFonts w:ascii="宋体" w:hAnsi="宋体" w:eastAsia="宋体" w:cs="宋体"/>
          <w:b/>
          <w:i w:val="0"/>
          <w:spacing w:val="0"/>
          <w:sz w:val="28"/>
        </w:rPr>
        <w:t>9.6 未来展望与建议</w:t>
      </w:r>
    </w:p>
    <w:p w14:paraId="2D3EFDC9">
      <w:pPr>
        <w:pageBreakBefore w:val="0"/>
        <w:wordWrap/>
        <w:spacing w:before="160" w:after="0"/>
        <w:ind w:left="0" w:right="0"/>
        <w:jc w:val="left"/>
        <w:textAlignment w:val="auto"/>
        <w:rPr>
          <w:sz w:val="24"/>
        </w:rPr>
      </w:pPr>
      <w:r>
        <w:rPr>
          <w:rFonts w:ascii="宋体" w:hAnsi="宋体" w:eastAsia="宋体" w:cs="宋体"/>
          <w:b/>
          <w:i w:val="0"/>
          <w:spacing w:val="0"/>
          <w:sz w:val="24"/>
        </w:rPr>
        <w:t>9.6.1 赛事发展趋势</w:t>
      </w:r>
    </w:p>
    <w:p w14:paraId="070DCB93">
      <w:pPr>
        <w:pageBreakBefore w:val="0"/>
        <w:wordWrap/>
        <w:spacing w:before="160" w:after="0"/>
        <w:ind w:left="0" w:right="0"/>
        <w:jc w:val="left"/>
        <w:textAlignment w:val="auto"/>
        <w:rPr>
          <w:sz w:val="24"/>
        </w:rPr>
      </w:pPr>
      <w:r>
        <w:rPr>
          <w:rFonts w:ascii="宋体" w:hAnsi="宋体" w:eastAsia="宋体" w:cs="宋体"/>
          <w:b/>
          <w:i w:val="0"/>
          <w:spacing w:val="0"/>
          <w:sz w:val="24"/>
        </w:rPr>
        <w:t>主题多元化</w:t>
      </w:r>
      <w:r>
        <w:rPr>
          <w:rFonts w:ascii="宋体" w:hAnsi="宋体" w:eastAsia="宋体" w:cs="宋体"/>
          <w:b w:val="0"/>
          <w:i w:val="0"/>
          <w:spacing w:val="0"/>
          <w:sz w:val="24"/>
        </w:rPr>
        <w:t>：未来水族造景赛事的主题将进一步多元化，涵盖更广泛的环境与社会议题。如第十届全国大赛将引入"碳中和"、"生物多样性保护"等主题，鼓励学生关注全球环境问题并提出创新解决方案。同时，赛事主题也将更加注重地域特色与文化传承，如"岭南红土森林"、"江南水墨意境"等具有中国本土文化特色的主题。</w:t>
      </w:r>
    </w:p>
    <w:p w14:paraId="6C462861">
      <w:pPr>
        <w:pageBreakBefore w:val="0"/>
        <w:wordWrap/>
        <w:spacing w:before="160" w:after="0"/>
        <w:ind w:left="0" w:right="0"/>
        <w:jc w:val="left"/>
        <w:textAlignment w:val="auto"/>
        <w:rPr>
          <w:sz w:val="24"/>
        </w:rPr>
      </w:pPr>
      <w:r>
        <w:rPr>
          <w:rFonts w:ascii="宋体" w:hAnsi="宋体" w:eastAsia="宋体" w:cs="宋体"/>
          <w:b/>
          <w:i w:val="0"/>
          <w:spacing w:val="0"/>
          <w:sz w:val="24"/>
        </w:rPr>
        <w:t>技术融合创新</w:t>
      </w:r>
      <w:r>
        <w:rPr>
          <w:rFonts w:ascii="宋体" w:hAnsi="宋体" w:eastAsia="宋体" w:cs="宋体"/>
          <w:b w:val="0"/>
          <w:i w:val="0"/>
          <w:spacing w:val="0"/>
          <w:sz w:val="24"/>
        </w:rPr>
        <w:t>：人工智能、虚拟现实等先进技术将在水族造景赛事中发挥越来越重要的作用。如第十届全国大赛筹备研讨会已提出"AI赋能赛事创新"的思路，未来赛事可能引入AI辅助设计、智能水质监测等新技术。AI技术可以帮助学生进行设计优化、生态模拟和参数预测，提高作品的专业性与创新性。虚拟现实技术则可用于作品展示与答辩，为评委提供更加立体、多角度的观赏体验。</w:t>
      </w:r>
    </w:p>
    <w:p w14:paraId="23140D6C">
      <w:pPr>
        <w:pageBreakBefore w:val="0"/>
        <w:wordWrap/>
        <w:spacing w:before="160" w:after="0"/>
        <w:ind w:left="0" w:right="0"/>
        <w:jc w:val="left"/>
        <w:textAlignment w:val="auto"/>
        <w:rPr>
          <w:sz w:val="24"/>
        </w:rPr>
      </w:pPr>
      <w:r>
        <w:rPr>
          <w:rFonts w:ascii="宋体" w:hAnsi="宋体" w:eastAsia="宋体" w:cs="宋体"/>
          <w:b/>
          <w:i w:val="0"/>
          <w:spacing w:val="0"/>
          <w:sz w:val="24"/>
        </w:rPr>
        <w:t>国际化与本土化结合</w:t>
      </w:r>
      <w:r>
        <w:rPr>
          <w:rFonts w:ascii="宋体" w:hAnsi="宋体" w:eastAsia="宋体" w:cs="宋体"/>
          <w:b w:val="0"/>
          <w:i w:val="0"/>
          <w:spacing w:val="0"/>
          <w:sz w:val="24"/>
        </w:rPr>
        <w:t>：未来水族造景赛事将更加注重国际化与本土化的结合。一方面，国内赛事将借鉴国际顶级赛事的评审标准与组织模式，提升赛事的专业性与国际影响力；另一方面，国际赛事也将更加关注中国本土文化与生态特色，为中国学生提供更广阔的展示平台。如第八届全国大赛已引入IAPLC国际水草造景大赛的评审理念，促进了国内外水族造景文化的交流与融合。</w:t>
      </w:r>
    </w:p>
    <w:p w14:paraId="06DC6CFD">
      <w:pPr>
        <w:pageBreakBefore w:val="0"/>
        <w:wordWrap/>
        <w:spacing w:before="160" w:after="0"/>
        <w:ind w:left="0" w:right="0"/>
        <w:jc w:val="left"/>
        <w:textAlignment w:val="auto"/>
        <w:rPr>
          <w:rFonts w:ascii="宋体" w:hAnsi="宋体" w:eastAsia="宋体" w:cs="宋体"/>
          <w:b/>
          <w:i w:val="0"/>
          <w:spacing w:val="0"/>
          <w:sz w:val="24"/>
        </w:rPr>
      </w:pPr>
    </w:p>
    <w:p w14:paraId="5F3D2969">
      <w:pPr>
        <w:pageBreakBefore w:val="0"/>
        <w:wordWrap/>
        <w:spacing w:before="160" w:after="0"/>
        <w:ind w:left="0" w:right="0"/>
        <w:jc w:val="left"/>
        <w:textAlignment w:val="auto"/>
        <w:rPr>
          <w:sz w:val="24"/>
        </w:rPr>
      </w:pPr>
      <w:r>
        <w:rPr>
          <w:rFonts w:ascii="宋体" w:hAnsi="宋体" w:eastAsia="宋体" w:cs="宋体"/>
          <w:b/>
          <w:i w:val="0"/>
          <w:spacing w:val="0"/>
          <w:sz w:val="24"/>
        </w:rPr>
        <w:t>9.6.2 对高校与学生的建议</w:t>
      </w:r>
    </w:p>
    <w:p w14:paraId="23960238">
      <w:pPr>
        <w:pageBreakBefore w:val="0"/>
        <w:wordWrap/>
        <w:spacing w:before="160" w:after="0"/>
        <w:ind w:left="0" w:right="0"/>
        <w:jc w:val="left"/>
        <w:textAlignment w:val="auto"/>
        <w:rPr>
          <w:sz w:val="24"/>
        </w:rPr>
      </w:pPr>
      <w:r>
        <w:rPr>
          <w:rFonts w:ascii="宋体" w:hAnsi="宋体" w:eastAsia="宋体" w:cs="宋体"/>
          <w:b/>
          <w:i w:val="0"/>
          <w:spacing w:val="0"/>
          <w:sz w:val="24"/>
        </w:rPr>
        <w:t>对高校的建议</w:t>
      </w:r>
      <w:r>
        <w:rPr>
          <w:rFonts w:ascii="宋体" w:hAnsi="宋体" w:eastAsia="宋体" w:cs="宋体"/>
          <w:b w:val="0"/>
          <w:i w:val="0"/>
          <w:spacing w:val="0"/>
          <w:sz w:val="24"/>
        </w:rPr>
        <w:t>：</w:t>
      </w:r>
    </w:p>
    <w:p w14:paraId="5D4A9BB9">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设立专项基金</w:t>
      </w:r>
      <w:r>
        <w:rPr>
          <w:rFonts w:ascii="宋体" w:hAnsi="宋体" w:eastAsia="宋体" w:cs="宋体"/>
          <w:b w:val="0"/>
          <w:i w:val="0"/>
          <w:spacing w:val="0"/>
          <w:sz w:val="24"/>
        </w:rPr>
        <w:t>：高校应设立水族造景专项基金，支持学生参赛和作品研发。如安徽农业大学通过创新创业项目基金支持学生参赛，取得了显著成效。</w:t>
      </w:r>
    </w:p>
    <w:p w14:paraId="362F6AEF">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建设实训基地</w:t>
      </w:r>
      <w:r>
        <w:rPr>
          <w:rFonts w:ascii="宋体" w:hAnsi="宋体" w:eastAsia="宋体" w:cs="宋体"/>
          <w:b w:val="0"/>
          <w:i w:val="0"/>
          <w:spacing w:val="0"/>
          <w:sz w:val="24"/>
        </w:rPr>
        <w:t>：高校应加强水族造景实训基地建设，提供专业的造景材料与设备，为学生实践提供条件。如西南大学已建成水族专业实训基地（蠡园），为学生提供了良好的实践环境。</w:t>
      </w:r>
    </w:p>
    <w:p w14:paraId="23791DF9">
      <w:pPr>
        <w:pageBreakBefore w:val="0"/>
        <w:numPr>
          <w:ilvl w:val="0"/>
          <w:numId w:val="25"/>
        </w:numPr>
        <w:wordWrap/>
        <w:spacing w:before="160" w:after="0"/>
        <w:ind w:left="440" w:right="0" w:hanging="440"/>
        <w:jc w:val="left"/>
        <w:textAlignment w:val="auto"/>
        <w:rPr>
          <w:sz w:val="24"/>
        </w:rPr>
      </w:pPr>
      <w:r>
        <w:rPr>
          <w:rFonts w:ascii="宋体" w:hAnsi="宋体" w:eastAsia="宋体" w:cs="宋体"/>
          <w:b/>
          <w:i w:val="0"/>
          <w:spacing w:val="0"/>
          <w:sz w:val="24"/>
        </w:rPr>
        <w:t>纳入学分体系</w:t>
      </w:r>
      <w:r>
        <w:rPr>
          <w:rFonts w:ascii="宋体" w:hAnsi="宋体" w:eastAsia="宋体" w:cs="宋体"/>
          <w:b w:val="0"/>
          <w:i w:val="0"/>
          <w:spacing w:val="0"/>
          <w:sz w:val="24"/>
        </w:rPr>
        <w:t>：高校应将水族造景赛事纳入学分体系，鼓励学生积极参与。如青岛农业大学将水族造景技能大赛作为"蓝鲸导航"、"水族造景协会"等平台的一部分，为学生提供学分奖励与能力认证。</w:t>
      </w:r>
    </w:p>
    <w:p w14:paraId="280D39BE">
      <w:pPr>
        <w:pageBreakBefore w:val="0"/>
        <w:wordWrap/>
        <w:spacing w:before="160" w:after="0"/>
        <w:ind w:left="0" w:right="0"/>
        <w:jc w:val="left"/>
        <w:textAlignment w:val="auto"/>
        <w:rPr>
          <w:sz w:val="24"/>
        </w:rPr>
      </w:pPr>
      <w:r>
        <w:rPr>
          <w:rFonts w:ascii="宋体" w:hAnsi="宋体" w:eastAsia="宋体" w:cs="宋体"/>
          <w:b/>
          <w:i w:val="0"/>
          <w:spacing w:val="0"/>
          <w:sz w:val="24"/>
        </w:rPr>
        <w:t>对学生参赛的建议</w:t>
      </w:r>
      <w:r>
        <w:rPr>
          <w:rFonts w:ascii="宋体" w:hAnsi="宋体" w:eastAsia="宋体" w:cs="宋体"/>
          <w:b w:val="0"/>
          <w:i w:val="0"/>
          <w:spacing w:val="0"/>
          <w:sz w:val="24"/>
        </w:rPr>
        <w:t>：</w:t>
      </w:r>
    </w:p>
    <w:p w14:paraId="355A5070">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提前规划</w:t>
      </w:r>
      <w:r>
        <w:rPr>
          <w:rFonts w:ascii="宋体" w:hAnsi="宋体" w:eastAsia="宋体" w:cs="宋体"/>
          <w:b w:val="0"/>
          <w:i w:val="0"/>
          <w:spacing w:val="0"/>
          <w:sz w:val="24"/>
        </w:rPr>
        <w:t>：学生应提前规划参赛时间与资源，避免临时抱佛脚。如青岛农业大学获奖学生王浩在备赛前就做了充分准备，制定了万全的准备方案，确保在9小时的比赛中能够从容应对。</w:t>
      </w:r>
    </w:p>
    <w:p w14:paraId="22E485DB">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参与工作坊</w:t>
      </w:r>
      <w:r>
        <w:rPr>
          <w:rFonts w:ascii="宋体" w:hAnsi="宋体" w:eastAsia="宋体" w:cs="宋体"/>
          <w:b w:val="0"/>
          <w:i w:val="0"/>
          <w:spacing w:val="0"/>
          <w:sz w:val="24"/>
        </w:rPr>
        <w:t>：学生应积极参与校内外水族造景工作坊，提升专业技能与实践经验。如材料[13]中提到的甘肃农业大学"观赏水族养殖与景观设计美育实践系列活动"，为学生提供了系统的学习与实践机会。</w:t>
      </w:r>
    </w:p>
    <w:p w14:paraId="7C83D072">
      <w:pPr>
        <w:pageBreakBefore w:val="0"/>
        <w:numPr>
          <w:ilvl w:val="0"/>
          <w:numId w:val="26"/>
        </w:numPr>
        <w:wordWrap/>
        <w:spacing w:before="160" w:after="0"/>
        <w:ind w:left="440" w:right="0" w:hanging="440"/>
        <w:jc w:val="left"/>
        <w:textAlignment w:val="auto"/>
        <w:rPr>
          <w:sz w:val="24"/>
        </w:rPr>
      </w:pPr>
      <w:r>
        <w:rPr>
          <w:rFonts w:ascii="宋体" w:hAnsi="宋体" w:eastAsia="宋体" w:cs="宋体"/>
          <w:b/>
          <w:i w:val="0"/>
          <w:spacing w:val="0"/>
          <w:sz w:val="24"/>
        </w:rPr>
        <w:t>建立长期项目</w:t>
      </w:r>
      <w:r>
        <w:rPr>
          <w:rFonts w:ascii="宋体" w:hAnsi="宋体" w:eastAsia="宋体" w:cs="宋体"/>
          <w:b w:val="0"/>
          <w:i w:val="0"/>
          <w:spacing w:val="0"/>
          <w:sz w:val="24"/>
        </w:rPr>
        <w:t>：学生不应仅将赛事视为一次性活动，而应建立长期水族造景项目，持续积累经验与成果。如安徽农业大学学生许阳、尤昆等在校期间就建立了"AND水族文化传播工作室"，为后续创业奠定了基础。</w:t>
      </w:r>
    </w:p>
    <w:p w14:paraId="76464874">
      <w:pPr>
        <w:pageBreakBefore w:val="0"/>
        <w:wordWrap/>
        <w:spacing w:before="160" w:after="0"/>
        <w:ind w:left="0" w:right="0"/>
        <w:jc w:val="left"/>
        <w:textAlignment w:val="auto"/>
        <w:rPr>
          <w:rFonts w:ascii="宋体" w:hAnsi="宋体" w:eastAsia="宋体" w:cs="宋体"/>
          <w:b/>
          <w:i w:val="0"/>
          <w:spacing w:val="0"/>
          <w:sz w:val="24"/>
        </w:rPr>
      </w:pPr>
    </w:p>
    <w:p w14:paraId="60930F25">
      <w:pPr>
        <w:pageBreakBefore w:val="0"/>
        <w:wordWrap/>
        <w:spacing w:before="160" w:after="0"/>
        <w:ind w:left="0" w:right="0"/>
        <w:jc w:val="left"/>
        <w:textAlignment w:val="auto"/>
        <w:rPr>
          <w:sz w:val="24"/>
        </w:rPr>
      </w:pPr>
      <w:r>
        <w:rPr>
          <w:rFonts w:ascii="宋体" w:hAnsi="宋体" w:eastAsia="宋体" w:cs="宋体"/>
          <w:b/>
          <w:i w:val="0"/>
          <w:spacing w:val="0"/>
          <w:sz w:val="24"/>
        </w:rPr>
        <w:t>9.6.3 行业支持方向</w:t>
      </w:r>
    </w:p>
    <w:p w14:paraId="57D7F7E4">
      <w:pPr>
        <w:pageBreakBefore w:val="0"/>
        <w:wordWrap/>
        <w:spacing w:before="160" w:after="0"/>
        <w:ind w:left="0" w:right="0"/>
        <w:jc w:val="left"/>
        <w:textAlignment w:val="auto"/>
        <w:rPr>
          <w:sz w:val="24"/>
        </w:rPr>
      </w:pPr>
      <w:r>
        <w:rPr>
          <w:rFonts w:ascii="宋体" w:hAnsi="宋体" w:eastAsia="宋体" w:cs="宋体"/>
          <w:b/>
          <w:i w:val="0"/>
          <w:spacing w:val="0"/>
          <w:sz w:val="24"/>
        </w:rPr>
        <w:t>企业赞助与资源共享</w:t>
      </w:r>
      <w:r>
        <w:rPr>
          <w:rFonts w:ascii="宋体" w:hAnsi="宋体" w:eastAsia="宋体" w:cs="宋体"/>
          <w:b w:val="0"/>
          <w:i w:val="0"/>
          <w:spacing w:val="0"/>
          <w:sz w:val="24"/>
        </w:rPr>
        <w:t>：水族器材供应商、观赏水族养殖企业等应加大对大学生水族造景赛事的赞助与支持。具体包括：</w:t>
      </w:r>
    </w:p>
    <w:p w14:paraId="0C7D9C9B">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设备赞助</w:t>
      </w:r>
      <w:r>
        <w:rPr>
          <w:rFonts w:ascii="宋体" w:hAnsi="宋体" w:eastAsia="宋体" w:cs="宋体"/>
          <w:b w:val="0"/>
          <w:i w:val="0"/>
          <w:spacing w:val="0"/>
          <w:sz w:val="24"/>
        </w:rPr>
        <w:t>：提供高品质的水族箱、过滤器、照明系统等设备，降低学生参赛成本</w:t>
      </w:r>
    </w:p>
    <w:p w14:paraId="51CEC27B">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材料资源共享</w:t>
      </w:r>
      <w:r>
        <w:rPr>
          <w:rFonts w:ascii="宋体" w:hAnsi="宋体" w:eastAsia="宋体" w:cs="宋体"/>
          <w:b w:val="0"/>
          <w:i w:val="0"/>
          <w:spacing w:val="0"/>
          <w:sz w:val="24"/>
        </w:rPr>
        <w:t>：开放水草、沉木、石材等造景材料资源，为学生提供多样化的创作选择</w:t>
      </w:r>
    </w:p>
    <w:p w14:paraId="0F0DCFDE">
      <w:pPr>
        <w:pageBreakBefore w:val="0"/>
        <w:numPr>
          <w:ilvl w:val="0"/>
          <w:numId w:val="27"/>
        </w:numPr>
        <w:wordWrap/>
        <w:spacing w:before="160" w:after="0"/>
        <w:ind w:left="440" w:right="0" w:hanging="440"/>
        <w:jc w:val="left"/>
        <w:textAlignment w:val="auto"/>
        <w:rPr>
          <w:sz w:val="24"/>
        </w:rPr>
      </w:pPr>
      <w:r>
        <w:rPr>
          <w:rFonts w:ascii="宋体" w:hAnsi="宋体" w:eastAsia="宋体" w:cs="宋体"/>
          <w:b/>
          <w:i w:val="0"/>
          <w:spacing w:val="0"/>
          <w:sz w:val="24"/>
        </w:rPr>
        <w:t>实习机会</w:t>
      </w:r>
      <w:r>
        <w:rPr>
          <w:rFonts w:ascii="宋体" w:hAnsi="宋体" w:eastAsia="宋体" w:cs="宋体"/>
          <w:b w:val="0"/>
          <w:i w:val="0"/>
          <w:spacing w:val="0"/>
          <w:sz w:val="24"/>
        </w:rPr>
        <w:t>：为获奖学生提供实习机会，促进产学研深度融合</w:t>
      </w:r>
    </w:p>
    <w:p w14:paraId="378811BA">
      <w:pPr>
        <w:pageBreakBefore w:val="0"/>
        <w:wordWrap/>
        <w:spacing w:before="160" w:after="0"/>
        <w:ind w:left="0" w:right="0"/>
        <w:jc w:val="left"/>
        <w:textAlignment w:val="auto"/>
        <w:rPr>
          <w:sz w:val="24"/>
        </w:rPr>
      </w:pPr>
      <w:r>
        <w:rPr>
          <w:rFonts w:ascii="宋体" w:hAnsi="宋体" w:eastAsia="宋体" w:cs="宋体"/>
          <w:b/>
          <w:i w:val="0"/>
          <w:spacing w:val="0"/>
          <w:sz w:val="24"/>
        </w:rPr>
        <w:t>政府与协会政策支持</w:t>
      </w:r>
      <w:r>
        <w:rPr>
          <w:rFonts w:ascii="宋体" w:hAnsi="宋体" w:eastAsia="宋体" w:cs="宋体"/>
          <w:b w:val="0"/>
          <w:i w:val="0"/>
          <w:spacing w:val="0"/>
          <w:sz w:val="24"/>
        </w:rPr>
        <w:t>：政府部门和行业协会应出台相关政策，支持水族造景赛事发展与学生创新创业。具体包括：</w:t>
      </w:r>
    </w:p>
    <w:p w14:paraId="23EB8EB2">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创新创业扶持</w:t>
      </w:r>
      <w:r>
        <w:rPr>
          <w:rFonts w:ascii="宋体" w:hAnsi="宋体" w:eastAsia="宋体" w:cs="宋体"/>
          <w:b w:val="0"/>
          <w:i w:val="0"/>
          <w:spacing w:val="0"/>
          <w:sz w:val="24"/>
        </w:rPr>
        <w:t>：将水族造景项目纳入大学生创新创业扶持范围，提供资金补贴与政策优惠。如湖北省对大学生创业项目提供5万元/人补贴，可为水族造景创业项目提供支持。</w:t>
      </w:r>
    </w:p>
    <w:p w14:paraId="7668F7B3">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行业标准制定</w:t>
      </w:r>
      <w:r>
        <w:rPr>
          <w:rFonts w:ascii="宋体" w:hAnsi="宋体" w:eastAsia="宋体" w:cs="宋体"/>
          <w:b w:val="0"/>
          <w:i w:val="0"/>
          <w:spacing w:val="0"/>
          <w:sz w:val="24"/>
        </w:rPr>
        <w:t>：支持大学生参与水族造景行业标准制定，提升其在行业中的话语权与影响力。</w:t>
      </w:r>
    </w:p>
    <w:p w14:paraId="7027FF84">
      <w:pPr>
        <w:pageBreakBefore w:val="0"/>
        <w:numPr>
          <w:ilvl w:val="0"/>
          <w:numId w:val="28"/>
        </w:numPr>
        <w:wordWrap/>
        <w:spacing w:before="160" w:after="0"/>
        <w:ind w:left="440" w:right="0" w:hanging="440"/>
        <w:jc w:val="left"/>
        <w:textAlignment w:val="auto"/>
        <w:rPr>
          <w:sz w:val="24"/>
        </w:rPr>
      </w:pPr>
      <w:r>
        <w:rPr>
          <w:rFonts w:ascii="宋体" w:hAnsi="宋体" w:eastAsia="宋体" w:cs="宋体"/>
          <w:b/>
          <w:i w:val="0"/>
          <w:spacing w:val="0"/>
          <w:sz w:val="24"/>
        </w:rPr>
        <w:t>人才培养计划</w:t>
      </w:r>
      <w:r>
        <w:rPr>
          <w:rFonts w:ascii="宋体" w:hAnsi="宋体" w:eastAsia="宋体" w:cs="宋体"/>
          <w:b w:val="0"/>
          <w:i w:val="0"/>
          <w:spacing w:val="0"/>
          <w:sz w:val="24"/>
        </w:rPr>
        <w:t>：联合高校开展"水族与水产类专业高质量发展"人才培养计划，为行业输送更多高素质人才。</w:t>
      </w:r>
    </w:p>
    <w:p w14:paraId="2E485CDE">
      <w:pPr>
        <w:pageBreakBefore w:val="0"/>
        <w:wordWrap/>
        <w:spacing w:before="160" w:after="0"/>
        <w:ind w:left="0" w:right="0"/>
        <w:jc w:val="left"/>
        <w:textAlignment w:val="auto"/>
        <w:rPr>
          <w:sz w:val="28"/>
        </w:rPr>
      </w:pPr>
      <w:r>
        <w:rPr>
          <w:rFonts w:ascii="宋体" w:hAnsi="宋体" w:eastAsia="宋体" w:cs="宋体"/>
          <w:b/>
          <w:i w:val="0"/>
          <w:spacing w:val="0"/>
          <w:sz w:val="28"/>
        </w:rPr>
        <w:t>9.7 附录</w:t>
      </w:r>
    </w:p>
    <w:p w14:paraId="16B03843">
      <w:pPr>
        <w:pageBreakBefore w:val="0"/>
        <w:wordWrap/>
        <w:spacing w:before="160" w:after="0"/>
        <w:ind w:left="0" w:right="0"/>
        <w:jc w:val="left"/>
        <w:textAlignment w:val="auto"/>
        <w:rPr>
          <w:sz w:val="24"/>
        </w:rPr>
      </w:pPr>
      <w:r>
        <w:rPr>
          <w:rFonts w:ascii="宋体" w:hAnsi="宋体" w:eastAsia="宋体" w:cs="宋体"/>
          <w:b/>
          <w:i w:val="0"/>
          <w:spacing w:val="0"/>
          <w:sz w:val="24"/>
        </w:rPr>
        <w:t>附录1：大学生水族造景赛事时间表与报名渠道</w:t>
      </w:r>
    </w:p>
    <w:p w14:paraId="7AABB892">
      <w:pPr>
        <w:pageBreakBefore w:val="0"/>
        <w:wordWrap/>
        <w:spacing w:before="160" w:after="0"/>
        <w:ind w:left="0" w:right="0"/>
        <w:jc w:val="left"/>
        <w:textAlignment w:val="auto"/>
        <w:rPr>
          <w:sz w:val="24"/>
        </w:rPr>
      </w:pPr>
      <w:r>
        <w:rPr>
          <w:rFonts w:ascii="宋体" w:hAnsi="宋体" w:eastAsia="宋体" w:cs="宋体"/>
          <w:b/>
          <w:i w:val="0"/>
          <w:spacing w:val="0"/>
          <w:sz w:val="24"/>
        </w:rPr>
        <w:t>全国大学生水族箱造景技能大赛</w:t>
      </w:r>
      <w:r>
        <w:rPr>
          <w:rFonts w:ascii="宋体" w:hAnsi="宋体" w:eastAsia="宋体" w:cs="宋体"/>
          <w:b w:val="0"/>
          <w:i w:val="0"/>
          <w:spacing w:val="0"/>
          <w:sz w:val="24"/>
        </w:rPr>
        <w:t>：</w:t>
      </w:r>
    </w:p>
    <w:p w14:paraId="0FC25DEC">
      <w:pPr>
        <w:pageBreakBefore w:val="0"/>
        <w:numPr>
          <w:ilvl w:val="0"/>
          <w:numId w:val="29"/>
        </w:numPr>
        <w:wordWrap/>
        <w:spacing w:before="160" w:after="0"/>
        <w:ind w:left="440" w:right="0" w:hanging="440"/>
        <w:jc w:val="left"/>
        <w:textAlignment w:val="auto"/>
        <w:rPr>
          <w:sz w:val="24"/>
        </w:rPr>
      </w:pPr>
      <w:r>
        <w:rPr>
          <w:rFonts w:ascii="宋体" w:hAnsi="宋体" w:eastAsia="宋体" w:cs="宋体"/>
          <w:b w:val="0"/>
          <w:i w:val="0"/>
          <w:spacing w:val="0"/>
          <w:sz w:val="24"/>
        </w:rPr>
        <w:t>承办单位：轮值制，历届由华中农业大学、西南大学等高校承办</w:t>
      </w:r>
    </w:p>
    <w:p w14:paraId="5C6E28DE">
      <w:pPr>
        <w:pageBreakBefore w:val="0"/>
        <w:numPr>
          <w:ilvl w:val="0"/>
          <w:numId w:val="29"/>
        </w:numPr>
        <w:wordWrap/>
        <w:spacing w:before="160" w:after="0"/>
        <w:ind w:left="440" w:right="0" w:hanging="440"/>
        <w:jc w:val="left"/>
        <w:textAlignment w:val="auto"/>
        <w:rPr>
          <w:sz w:val="24"/>
        </w:rPr>
      </w:pPr>
      <w:r>
        <w:rPr>
          <w:rFonts w:ascii="宋体" w:hAnsi="宋体" w:eastAsia="宋体" w:cs="宋体"/>
          <w:b w:val="0"/>
          <w:i w:val="0"/>
          <w:spacing w:val="0"/>
          <w:sz w:val="24"/>
        </w:rPr>
        <w:t>赛事时间：每年9-11月</w:t>
      </w:r>
    </w:p>
    <w:p w14:paraId="40B8E170">
      <w:pPr>
        <w:pageBreakBefore w:val="0"/>
        <w:numPr>
          <w:ilvl w:val="0"/>
          <w:numId w:val="29"/>
        </w:numPr>
        <w:wordWrap/>
        <w:spacing w:before="160" w:after="0"/>
        <w:ind w:left="440" w:right="0" w:hanging="440"/>
        <w:jc w:val="left"/>
        <w:textAlignment w:val="auto"/>
        <w:rPr>
          <w:sz w:val="24"/>
        </w:rPr>
      </w:pPr>
      <w:r>
        <w:rPr>
          <w:rFonts w:ascii="宋体" w:hAnsi="宋体" w:eastAsia="宋体" w:cs="宋体"/>
          <w:b w:val="0"/>
          <w:i w:val="0"/>
          <w:spacing w:val="0"/>
          <w:sz w:val="24"/>
        </w:rPr>
        <w:t>报名渠道：通过各高校水产学院或创新创业学院报名</w:t>
      </w:r>
    </w:p>
    <w:p w14:paraId="0F09E9F4">
      <w:pPr>
        <w:pageBreakBefore w:val="0"/>
        <w:numPr>
          <w:ilvl w:val="0"/>
          <w:numId w:val="29"/>
        </w:numPr>
        <w:wordWrap/>
        <w:spacing w:before="160" w:after="0"/>
        <w:ind w:left="440" w:right="0" w:hanging="440"/>
        <w:jc w:val="left"/>
        <w:textAlignment w:val="auto"/>
        <w:rPr>
          <w:sz w:val="24"/>
        </w:rPr>
      </w:pPr>
      <w:r>
        <w:rPr>
          <w:rFonts w:ascii="宋体" w:hAnsi="宋体" w:eastAsia="宋体" w:cs="宋体"/>
          <w:b w:val="0"/>
          <w:i w:val="0"/>
          <w:spacing w:val="0"/>
          <w:sz w:val="24"/>
        </w:rPr>
        <w:t>官网：教育部高等学校国家级实验教学示范中心联席会官网</w:t>
      </w:r>
    </w:p>
    <w:p w14:paraId="3025A0C1">
      <w:pPr>
        <w:pageBreakBefore w:val="0"/>
        <w:wordWrap/>
        <w:spacing w:before="160" w:after="0"/>
        <w:ind w:left="0" w:right="0"/>
        <w:jc w:val="left"/>
        <w:textAlignment w:val="auto"/>
        <w:rPr>
          <w:sz w:val="24"/>
        </w:rPr>
      </w:pPr>
      <w:r>
        <w:rPr>
          <w:rFonts w:ascii="宋体" w:hAnsi="宋体" w:eastAsia="宋体" w:cs="宋体"/>
          <w:b/>
          <w:i w:val="0"/>
          <w:spacing w:val="0"/>
          <w:sz w:val="24"/>
        </w:rPr>
        <w:t>高校水族造景赛事</w:t>
      </w:r>
      <w:r>
        <w:rPr>
          <w:rFonts w:ascii="宋体" w:hAnsi="宋体" w:eastAsia="宋体" w:cs="宋体"/>
          <w:b w:val="0"/>
          <w:i w:val="0"/>
          <w:spacing w:val="0"/>
          <w:sz w:val="24"/>
        </w:rPr>
        <w:t>：</w:t>
      </w:r>
    </w:p>
    <w:p w14:paraId="5CE97D93">
      <w:pPr>
        <w:pageBreakBefore w:val="0"/>
        <w:numPr>
          <w:ilvl w:val="0"/>
          <w:numId w:val="30"/>
        </w:numPr>
        <w:wordWrap/>
        <w:spacing w:before="160" w:after="0"/>
        <w:ind w:left="440" w:right="0" w:hanging="440"/>
        <w:jc w:val="left"/>
        <w:textAlignment w:val="auto"/>
        <w:rPr>
          <w:sz w:val="24"/>
        </w:rPr>
      </w:pPr>
      <w:r>
        <w:rPr>
          <w:rFonts w:ascii="宋体" w:hAnsi="宋体" w:eastAsia="宋体" w:cs="宋体"/>
          <w:b w:val="0"/>
          <w:i w:val="0"/>
          <w:spacing w:val="0"/>
          <w:sz w:val="24"/>
        </w:rPr>
        <w:t>集美大学"美渔美育"水族箱造景技能大赛</w:t>
      </w:r>
    </w:p>
    <w:p w14:paraId="337465E5">
      <w:pPr>
        <w:pageBreakBefore w:val="0"/>
        <w:numPr>
          <w:ilvl w:val="1"/>
          <w:numId w:val="31"/>
        </w:numPr>
        <w:wordWrap/>
        <w:spacing w:before="160" w:after="0"/>
        <w:ind w:left="880" w:right="0" w:hanging="440"/>
        <w:jc w:val="left"/>
        <w:textAlignment w:val="auto"/>
        <w:rPr>
          <w:sz w:val="24"/>
        </w:rPr>
      </w:pPr>
      <w:r>
        <w:rPr>
          <w:rFonts w:ascii="宋体" w:hAnsi="宋体" w:eastAsia="宋体" w:cs="宋体"/>
          <w:b w:val="0"/>
          <w:i w:val="0"/>
          <w:spacing w:val="0"/>
          <w:sz w:val="24"/>
        </w:rPr>
        <w:t>赛事时间：2025年8月30日-9月14日</w:t>
      </w:r>
    </w:p>
    <w:p w14:paraId="7CAE16E3">
      <w:pPr>
        <w:pageBreakBefore w:val="0"/>
        <w:numPr>
          <w:ilvl w:val="1"/>
          <w:numId w:val="31"/>
        </w:numPr>
        <w:wordWrap/>
        <w:spacing w:before="160" w:after="0"/>
        <w:ind w:left="880" w:right="0" w:hanging="440"/>
        <w:jc w:val="left"/>
        <w:textAlignment w:val="auto"/>
        <w:rPr>
          <w:sz w:val="24"/>
        </w:rPr>
      </w:pPr>
      <w:r>
        <w:rPr>
          <w:rFonts w:ascii="宋体" w:hAnsi="宋体" w:eastAsia="宋体" w:cs="宋体"/>
          <w:b w:val="0"/>
          <w:i w:val="0"/>
          <w:spacing w:val="0"/>
          <w:sz w:val="24"/>
        </w:rPr>
        <w:t>报名渠道：通过集美大学水产学院报名</w:t>
      </w:r>
    </w:p>
    <w:p w14:paraId="277F28EE">
      <w:pPr>
        <w:pageBreakBefore w:val="0"/>
        <w:numPr>
          <w:ilvl w:val="1"/>
          <w:numId w:val="31"/>
        </w:numPr>
        <w:wordWrap/>
        <w:spacing w:before="160" w:after="0"/>
        <w:ind w:left="880" w:right="0" w:hanging="440"/>
        <w:jc w:val="left"/>
        <w:textAlignment w:val="auto"/>
        <w:rPr>
          <w:sz w:val="24"/>
        </w:rPr>
      </w:pPr>
      <w:r>
        <w:rPr>
          <w:rFonts w:ascii="宋体" w:hAnsi="宋体" w:eastAsia="宋体" w:cs="宋体"/>
          <w:b w:val="0"/>
          <w:i w:val="0"/>
          <w:spacing w:val="0"/>
          <w:sz w:val="24"/>
        </w:rPr>
        <w:t>官网：集美大学水产学院官网</w:t>
      </w:r>
    </w:p>
    <w:p w14:paraId="4A6444B2">
      <w:pPr>
        <w:pageBreakBefore w:val="0"/>
        <w:numPr>
          <w:ilvl w:val="0"/>
          <w:numId w:val="30"/>
        </w:numPr>
        <w:wordWrap/>
        <w:spacing w:before="160" w:after="0"/>
        <w:ind w:left="440" w:right="0" w:hanging="440"/>
        <w:jc w:val="left"/>
        <w:textAlignment w:val="auto"/>
        <w:rPr>
          <w:sz w:val="24"/>
        </w:rPr>
      </w:pPr>
      <w:r>
        <w:rPr>
          <w:rFonts w:ascii="宋体" w:hAnsi="宋体" w:eastAsia="宋体" w:cs="宋体"/>
          <w:b w:val="0"/>
          <w:i w:val="0"/>
          <w:spacing w:val="0"/>
          <w:sz w:val="24"/>
        </w:rPr>
        <w:t>上海海洋大学水族造景大赛</w:t>
      </w:r>
    </w:p>
    <w:p w14:paraId="50F79104">
      <w:pPr>
        <w:pageBreakBefore w:val="0"/>
        <w:numPr>
          <w:ilvl w:val="1"/>
          <w:numId w:val="32"/>
        </w:numPr>
        <w:wordWrap/>
        <w:spacing w:before="160" w:after="0"/>
        <w:ind w:left="880" w:right="0" w:hanging="440"/>
        <w:jc w:val="left"/>
        <w:textAlignment w:val="auto"/>
        <w:rPr>
          <w:sz w:val="24"/>
        </w:rPr>
      </w:pPr>
      <w:r>
        <w:rPr>
          <w:rFonts w:ascii="宋体" w:hAnsi="宋体" w:eastAsia="宋体" w:cs="宋体"/>
          <w:b w:val="0"/>
          <w:i w:val="0"/>
          <w:spacing w:val="0"/>
          <w:sz w:val="24"/>
        </w:rPr>
        <w:t>赛事时间：2024年9月至11月</w:t>
      </w:r>
    </w:p>
    <w:p w14:paraId="26D06401">
      <w:pPr>
        <w:pageBreakBefore w:val="0"/>
        <w:numPr>
          <w:ilvl w:val="1"/>
          <w:numId w:val="32"/>
        </w:numPr>
        <w:wordWrap/>
        <w:spacing w:before="160" w:after="0"/>
        <w:ind w:left="880" w:right="0" w:hanging="440"/>
        <w:jc w:val="left"/>
        <w:textAlignment w:val="auto"/>
        <w:rPr>
          <w:sz w:val="24"/>
        </w:rPr>
      </w:pPr>
      <w:r>
        <w:rPr>
          <w:rFonts w:ascii="宋体" w:hAnsi="宋体" w:eastAsia="宋体" w:cs="宋体"/>
          <w:b w:val="0"/>
          <w:i w:val="0"/>
          <w:spacing w:val="0"/>
          <w:sz w:val="24"/>
        </w:rPr>
        <w:t>报名渠道：通过上海海洋大学水产与生命学院报名</w:t>
      </w:r>
    </w:p>
    <w:p w14:paraId="6381C13B">
      <w:pPr>
        <w:pageBreakBefore w:val="0"/>
        <w:numPr>
          <w:ilvl w:val="1"/>
          <w:numId w:val="32"/>
        </w:numPr>
        <w:wordWrap/>
        <w:spacing w:before="160" w:after="0"/>
        <w:ind w:left="880" w:right="0" w:hanging="440"/>
        <w:jc w:val="left"/>
        <w:textAlignment w:val="auto"/>
        <w:rPr>
          <w:sz w:val="24"/>
        </w:rPr>
      </w:pPr>
      <w:r>
        <w:rPr>
          <w:rFonts w:ascii="宋体" w:hAnsi="宋体" w:eastAsia="宋体" w:cs="宋体"/>
          <w:b w:val="0"/>
          <w:i w:val="0"/>
          <w:spacing w:val="0"/>
          <w:sz w:val="24"/>
        </w:rPr>
        <w:t>官网：上海海洋大学信息公开网</w:t>
      </w:r>
    </w:p>
    <w:p w14:paraId="7B54102F">
      <w:pPr>
        <w:pageBreakBefore w:val="0"/>
        <w:numPr>
          <w:ilvl w:val="0"/>
          <w:numId w:val="30"/>
        </w:numPr>
        <w:wordWrap/>
        <w:spacing w:before="160" w:after="0"/>
        <w:ind w:left="440" w:right="0" w:hanging="440"/>
        <w:jc w:val="left"/>
        <w:textAlignment w:val="auto"/>
        <w:rPr>
          <w:sz w:val="24"/>
        </w:rPr>
      </w:pPr>
      <w:r>
        <w:rPr>
          <w:rFonts w:ascii="宋体" w:hAnsi="宋体" w:eastAsia="宋体" w:cs="宋体"/>
          <w:b w:val="0"/>
          <w:i w:val="0"/>
          <w:spacing w:val="0"/>
          <w:sz w:val="24"/>
        </w:rPr>
        <w:t>西南大学"利洋杯"水族箱造景技能大赛</w:t>
      </w:r>
    </w:p>
    <w:p w14:paraId="52492394">
      <w:pPr>
        <w:pageBreakBefore w:val="0"/>
        <w:numPr>
          <w:ilvl w:val="1"/>
          <w:numId w:val="64"/>
        </w:numPr>
        <w:wordWrap/>
        <w:spacing w:before="160" w:after="0"/>
        <w:ind w:left="880" w:right="0" w:hanging="440"/>
        <w:jc w:val="left"/>
        <w:textAlignment w:val="auto"/>
        <w:rPr>
          <w:sz w:val="24"/>
        </w:rPr>
      </w:pPr>
      <w:r>
        <w:rPr>
          <w:rFonts w:ascii="宋体" w:hAnsi="宋体" w:eastAsia="宋体" w:cs="宋体"/>
          <w:b w:val="0"/>
          <w:i w:val="0"/>
          <w:spacing w:val="0"/>
          <w:sz w:val="24"/>
        </w:rPr>
        <w:t>赛事时间：2025年4月-5月</w:t>
      </w:r>
    </w:p>
    <w:p w14:paraId="7AC24361">
      <w:pPr>
        <w:pageBreakBefore w:val="0"/>
        <w:numPr>
          <w:ilvl w:val="1"/>
          <w:numId w:val="64"/>
        </w:numPr>
        <w:wordWrap/>
        <w:spacing w:before="160" w:after="0"/>
        <w:ind w:left="880" w:right="0" w:hanging="440"/>
        <w:jc w:val="left"/>
        <w:textAlignment w:val="auto"/>
        <w:rPr>
          <w:sz w:val="24"/>
        </w:rPr>
      </w:pPr>
      <w:r>
        <w:rPr>
          <w:rFonts w:ascii="宋体" w:hAnsi="宋体" w:eastAsia="宋体" w:cs="宋体"/>
          <w:b w:val="0"/>
          <w:i w:val="0"/>
          <w:spacing w:val="0"/>
          <w:sz w:val="24"/>
        </w:rPr>
        <w:t>报名渠道：通过西南大学水产学院报名</w:t>
      </w:r>
    </w:p>
    <w:p w14:paraId="781FF32C">
      <w:pPr>
        <w:pageBreakBefore w:val="0"/>
        <w:numPr>
          <w:ilvl w:val="1"/>
          <w:numId w:val="64"/>
        </w:numPr>
        <w:wordWrap/>
        <w:spacing w:before="160" w:after="0"/>
        <w:ind w:left="880" w:right="0" w:hanging="440"/>
        <w:jc w:val="left"/>
        <w:textAlignment w:val="auto"/>
        <w:rPr>
          <w:sz w:val="24"/>
        </w:rPr>
      </w:pPr>
      <w:r>
        <w:rPr>
          <w:rFonts w:ascii="宋体" w:hAnsi="宋体" w:eastAsia="宋体" w:cs="宋体"/>
          <w:b w:val="0"/>
          <w:i w:val="0"/>
          <w:spacing w:val="0"/>
          <w:sz w:val="24"/>
        </w:rPr>
        <w:t>官网：西南大学水产学院官网</w:t>
      </w:r>
    </w:p>
    <w:p w14:paraId="11D75AD5">
      <w:pPr>
        <w:pageBreakBefore w:val="0"/>
        <w:wordWrap/>
        <w:spacing w:before="160" w:after="0"/>
        <w:ind w:left="0" w:right="0"/>
        <w:jc w:val="left"/>
        <w:textAlignment w:val="auto"/>
        <w:rPr>
          <w:sz w:val="24"/>
        </w:rPr>
      </w:pPr>
      <w:r>
        <w:rPr>
          <w:rFonts w:ascii="宋体" w:hAnsi="宋体" w:eastAsia="宋体" w:cs="宋体"/>
          <w:b/>
          <w:i w:val="0"/>
          <w:spacing w:val="0"/>
          <w:sz w:val="24"/>
        </w:rPr>
        <w:t>区域性水族造景赛事</w:t>
      </w:r>
      <w:r>
        <w:rPr>
          <w:rFonts w:ascii="宋体" w:hAnsi="宋体" w:eastAsia="宋体" w:cs="宋体"/>
          <w:b w:val="0"/>
          <w:i w:val="0"/>
          <w:spacing w:val="0"/>
          <w:sz w:val="24"/>
        </w:rPr>
        <w:t>：</w:t>
      </w:r>
    </w:p>
    <w:p w14:paraId="0019D8DF">
      <w:pPr>
        <w:pageBreakBefore w:val="0"/>
        <w:numPr>
          <w:ilvl w:val="0"/>
          <w:numId w:val="65"/>
        </w:numPr>
        <w:wordWrap/>
        <w:spacing w:before="160" w:after="0"/>
        <w:ind w:left="440" w:right="0" w:hanging="440"/>
        <w:jc w:val="left"/>
        <w:textAlignment w:val="auto"/>
        <w:rPr>
          <w:sz w:val="24"/>
        </w:rPr>
      </w:pPr>
      <w:r>
        <w:rPr>
          <w:rFonts w:ascii="宋体" w:hAnsi="宋体" w:eastAsia="宋体" w:cs="宋体"/>
          <w:b w:val="0"/>
          <w:i w:val="0"/>
          <w:spacing w:val="0"/>
          <w:sz w:val="24"/>
        </w:rPr>
        <w:t>长城杯中国原生造景大赛</w:t>
      </w:r>
    </w:p>
    <w:p w14:paraId="7E342CB7">
      <w:pPr>
        <w:pageBreakBefore w:val="0"/>
        <w:numPr>
          <w:ilvl w:val="1"/>
          <w:numId w:val="66"/>
        </w:numPr>
        <w:wordWrap/>
        <w:spacing w:before="160" w:after="0"/>
        <w:ind w:left="880" w:right="0" w:hanging="440"/>
        <w:jc w:val="left"/>
        <w:textAlignment w:val="auto"/>
        <w:rPr>
          <w:sz w:val="24"/>
        </w:rPr>
      </w:pPr>
      <w:r>
        <w:rPr>
          <w:rFonts w:ascii="宋体" w:hAnsi="宋体" w:eastAsia="宋体" w:cs="宋体"/>
          <w:b w:val="0"/>
          <w:i w:val="0"/>
          <w:spacing w:val="0"/>
          <w:sz w:val="24"/>
        </w:rPr>
        <w:t>主办单位：长城宠物展、ifish、两江网络</w:t>
      </w:r>
    </w:p>
    <w:p w14:paraId="1062C741">
      <w:pPr>
        <w:pageBreakBefore w:val="0"/>
        <w:numPr>
          <w:ilvl w:val="1"/>
          <w:numId w:val="66"/>
        </w:numPr>
        <w:wordWrap/>
        <w:spacing w:before="160" w:after="0"/>
        <w:ind w:left="880" w:right="0" w:hanging="440"/>
        <w:jc w:val="left"/>
        <w:textAlignment w:val="auto"/>
        <w:rPr>
          <w:sz w:val="24"/>
        </w:rPr>
      </w:pPr>
      <w:r>
        <w:rPr>
          <w:rFonts w:ascii="宋体" w:hAnsi="宋体" w:eastAsia="宋体" w:cs="宋体"/>
          <w:b w:val="0"/>
          <w:i w:val="0"/>
          <w:spacing w:val="0"/>
          <w:sz w:val="24"/>
        </w:rPr>
        <w:t>赛事时间：每年8-9月</w:t>
      </w:r>
    </w:p>
    <w:p w14:paraId="2605E841">
      <w:pPr>
        <w:pageBreakBefore w:val="0"/>
        <w:numPr>
          <w:ilvl w:val="1"/>
          <w:numId w:val="66"/>
        </w:numPr>
        <w:wordWrap/>
        <w:spacing w:before="160" w:after="0"/>
        <w:ind w:left="880" w:right="0" w:hanging="440"/>
        <w:jc w:val="left"/>
        <w:textAlignment w:val="auto"/>
        <w:rPr>
          <w:sz w:val="24"/>
        </w:rPr>
      </w:pPr>
      <w:r>
        <w:rPr>
          <w:rFonts w:ascii="宋体" w:hAnsi="宋体" w:eastAsia="宋体" w:cs="宋体"/>
          <w:b w:val="0"/>
          <w:i w:val="0"/>
          <w:spacing w:val="0"/>
          <w:sz w:val="24"/>
        </w:rPr>
        <w:t>报名渠道：通过官方网站或合作企业报名</w:t>
      </w:r>
    </w:p>
    <w:p w14:paraId="594583C8">
      <w:pPr>
        <w:pageBreakBefore w:val="0"/>
        <w:numPr>
          <w:ilvl w:val="1"/>
          <w:numId w:val="66"/>
        </w:numPr>
        <w:wordWrap/>
        <w:spacing w:before="160" w:after="0"/>
        <w:ind w:left="880" w:right="0" w:hanging="440"/>
        <w:jc w:val="left"/>
        <w:textAlignment w:val="auto"/>
        <w:rPr>
          <w:sz w:val="24"/>
        </w:rPr>
      </w:pPr>
      <w:r>
        <w:rPr>
          <w:rFonts w:ascii="宋体" w:hAnsi="宋体" w:eastAsia="宋体" w:cs="宋体"/>
          <w:b w:val="0"/>
          <w:i w:val="0"/>
          <w:spacing w:val="0"/>
          <w:sz w:val="24"/>
        </w:rPr>
        <w:t>官网：CIPS展会官网</w:t>
      </w:r>
    </w:p>
    <w:p w14:paraId="6E1DFFBE">
      <w:pPr>
        <w:pageBreakBefore w:val="0"/>
        <w:numPr>
          <w:ilvl w:val="0"/>
          <w:numId w:val="65"/>
        </w:numPr>
        <w:wordWrap/>
        <w:spacing w:before="160" w:after="0"/>
        <w:ind w:left="440" w:right="0" w:hanging="440"/>
        <w:jc w:val="left"/>
        <w:textAlignment w:val="auto"/>
        <w:rPr>
          <w:sz w:val="24"/>
        </w:rPr>
      </w:pPr>
      <w:r>
        <w:rPr>
          <w:rFonts w:ascii="宋体" w:hAnsi="宋体" w:eastAsia="宋体" w:cs="宋体"/>
          <w:b w:val="0"/>
          <w:i w:val="0"/>
          <w:spacing w:val="0"/>
          <w:sz w:val="24"/>
        </w:rPr>
        <w:t>福建省水族造景邀请赛</w:t>
      </w:r>
    </w:p>
    <w:p w14:paraId="359780FC">
      <w:pPr>
        <w:pageBreakBefore w:val="0"/>
        <w:numPr>
          <w:ilvl w:val="1"/>
          <w:numId w:val="67"/>
        </w:numPr>
        <w:wordWrap/>
        <w:spacing w:before="160" w:after="0"/>
        <w:ind w:left="880" w:right="0" w:hanging="440"/>
        <w:jc w:val="left"/>
        <w:textAlignment w:val="auto"/>
        <w:rPr>
          <w:sz w:val="24"/>
        </w:rPr>
      </w:pPr>
      <w:r>
        <w:rPr>
          <w:rFonts w:ascii="宋体" w:hAnsi="宋体" w:eastAsia="宋体" w:cs="宋体"/>
          <w:b w:val="0"/>
          <w:i w:val="0"/>
          <w:spacing w:val="0"/>
          <w:sz w:val="24"/>
        </w:rPr>
        <w:t>主办单位：福建省水产技术推广站</w:t>
      </w:r>
    </w:p>
    <w:p w14:paraId="3236A187">
      <w:pPr>
        <w:pageBreakBefore w:val="0"/>
        <w:numPr>
          <w:ilvl w:val="1"/>
          <w:numId w:val="67"/>
        </w:numPr>
        <w:wordWrap/>
        <w:spacing w:before="160" w:after="0"/>
        <w:ind w:left="880" w:right="0" w:hanging="440"/>
        <w:jc w:val="left"/>
        <w:textAlignment w:val="auto"/>
        <w:rPr>
          <w:sz w:val="24"/>
        </w:rPr>
      </w:pPr>
      <w:r>
        <w:rPr>
          <w:rFonts w:ascii="宋体" w:hAnsi="宋体" w:eastAsia="宋体" w:cs="宋体"/>
          <w:b w:val="0"/>
          <w:i w:val="0"/>
          <w:spacing w:val="0"/>
          <w:sz w:val="24"/>
        </w:rPr>
        <w:t>赛事时间：每年5-6月</w:t>
      </w:r>
    </w:p>
    <w:p w14:paraId="4B3640D1">
      <w:pPr>
        <w:pageBreakBefore w:val="0"/>
        <w:numPr>
          <w:ilvl w:val="1"/>
          <w:numId w:val="67"/>
        </w:numPr>
        <w:wordWrap/>
        <w:spacing w:before="160" w:after="0"/>
        <w:ind w:left="880" w:right="0" w:hanging="440"/>
        <w:jc w:val="left"/>
        <w:textAlignment w:val="auto"/>
        <w:rPr>
          <w:sz w:val="24"/>
        </w:rPr>
      </w:pPr>
      <w:r>
        <w:rPr>
          <w:rFonts w:ascii="宋体" w:hAnsi="宋体" w:eastAsia="宋体" w:cs="宋体"/>
          <w:b w:val="0"/>
          <w:i w:val="0"/>
          <w:spacing w:val="0"/>
          <w:sz w:val="24"/>
        </w:rPr>
        <w:t>报名渠道：通过福建省水产技术推广站官网报名</w:t>
      </w:r>
    </w:p>
    <w:p w14:paraId="4B27BE3A">
      <w:pPr>
        <w:pageBreakBefore w:val="0"/>
        <w:numPr>
          <w:ilvl w:val="1"/>
          <w:numId w:val="67"/>
        </w:numPr>
        <w:wordWrap/>
        <w:spacing w:before="160" w:after="0"/>
        <w:ind w:left="880" w:right="0" w:hanging="440"/>
        <w:jc w:val="left"/>
        <w:textAlignment w:val="auto"/>
        <w:rPr>
          <w:sz w:val="24"/>
        </w:rPr>
      </w:pPr>
      <w:r>
        <w:rPr>
          <w:rFonts w:ascii="宋体" w:hAnsi="宋体" w:eastAsia="宋体" w:cs="宋体"/>
          <w:b w:val="0"/>
          <w:i w:val="0"/>
          <w:spacing w:val="0"/>
          <w:sz w:val="24"/>
        </w:rPr>
        <w:t>官网：福建省海洋与渔业局官网</w:t>
      </w:r>
    </w:p>
    <w:p w14:paraId="13608033">
      <w:pPr>
        <w:pageBreakBefore w:val="0"/>
        <w:wordWrap/>
        <w:spacing w:before="160" w:after="0"/>
        <w:ind w:left="0" w:right="0"/>
        <w:jc w:val="left"/>
        <w:textAlignment w:val="auto"/>
        <w:rPr>
          <w:sz w:val="24"/>
        </w:rPr>
      </w:pPr>
      <w:r>
        <w:rPr>
          <w:rFonts w:ascii="宋体" w:hAnsi="宋体" w:eastAsia="宋体" w:cs="宋体"/>
          <w:b/>
          <w:i w:val="0"/>
          <w:spacing w:val="0"/>
          <w:sz w:val="24"/>
        </w:rPr>
        <w:t>附录2：参赛常用工具与资源列表</w:t>
      </w:r>
    </w:p>
    <w:p w14:paraId="28622DA4">
      <w:pPr>
        <w:pageBreakBefore w:val="0"/>
        <w:wordWrap/>
        <w:spacing w:before="160" w:after="0"/>
        <w:ind w:left="0" w:right="0"/>
        <w:jc w:val="left"/>
        <w:textAlignment w:val="auto"/>
        <w:rPr>
          <w:sz w:val="24"/>
        </w:rPr>
      </w:pPr>
      <w:r>
        <w:rPr>
          <w:rFonts w:ascii="宋体" w:hAnsi="宋体" w:eastAsia="宋体" w:cs="宋体"/>
          <w:b/>
          <w:i w:val="0"/>
          <w:spacing w:val="0"/>
          <w:sz w:val="24"/>
        </w:rPr>
        <w:t>设计软件</w:t>
      </w:r>
      <w:r>
        <w:rPr>
          <w:rFonts w:ascii="宋体" w:hAnsi="宋体" w:eastAsia="宋体" w:cs="宋体"/>
          <w:b w:val="0"/>
          <w:i w:val="0"/>
          <w:spacing w:val="0"/>
          <w:sz w:val="24"/>
        </w:rPr>
        <w:t>：</w:t>
      </w:r>
    </w:p>
    <w:p w14:paraId="01B22C3C">
      <w:pPr>
        <w:pageBreakBefore w:val="0"/>
        <w:numPr>
          <w:ilvl w:val="0"/>
          <w:numId w:val="68"/>
        </w:numPr>
        <w:wordWrap/>
        <w:spacing w:before="160" w:after="0"/>
        <w:ind w:left="440" w:right="0" w:hanging="440"/>
        <w:jc w:val="left"/>
        <w:textAlignment w:val="auto"/>
        <w:rPr>
          <w:sz w:val="24"/>
        </w:rPr>
      </w:pPr>
      <w:r>
        <w:rPr>
          <w:rFonts w:ascii="宋体" w:hAnsi="宋体" w:eastAsia="宋体" w:cs="宋体"/>
          <w:b w:val="0"/>
          <w:i w:val="0"/>
          <w:spacing w:val="0"/>
          <w:sz w:val="24"/>
        </w:rPr>
        <w:t>AutoCAD：专业设计软件，适合绘制二维设计图</w:t>
      </w:r>
    </w:p>
    <w:p w14:paraId="788655E1">
      <w:pPr>
        <w:pageBreakBefore w:val="0"/>
        <w:numPr>
          <w:ilvl w:val="0"/>
          <w:numId w:val="68"/>
        </w:numPr>
        <w:wordWrap/>
        <w:spacing w:before="160" w:after="0"/>
        <w:ind w:left="440" w:right="0" w:hanging="440"/>
        <w:jc w:val="left"/>
        <w:textAlignment w:val="auto"/>
        <w:rPr>
          <w:sz w:val="24"/>
        </w:rPr>
      </w:pPr>
      <w:r>
        <w:rPr>
          <w:rFonts w:ascii="宋体" w:hAnsi="宋体" w:eastAsia="宋体" w:cs="宋体"/>
          <w:b w:val="0"/>
          <w:i w:val="0"/>
          <w:spacing w:val="0"/>
          <w:sz w:val="24"/>
        </w:rPr>
        <w:t>Blender：3D建模软件，适合创建水族造景三维效果图</w:t>
      </w:r>
    </w:p>
    <w:p w14:paraId="7B4A09EB">
      <w:pPr>
        <w:pageBreakBefore w:val="0"/>
        <w:numPr>
          <w:ilvl w:val="0"/>
          <w:numId w:val="68"/>
        </w:numPr>
        <w:wordWrap/>
        <w:spacing w:before="160" w:after="0"/>
        <w:ind w:left="440" w:right="0" w:hanging="440"/>
        <w:jc w:val="left"/>
        <w:textAlignment w:val="auto"/>
        <w:rPr>
          <w:sz w:val="24"/>
        </w:rPr>
      </w:pPr>
      <w:r>
        <w:rPr>
          <w:rFonts w:ascii="宋体" w:hAnsi="宋体" w:eastAsia="宋体" w:cs="宋体"/>
          <w:b w:val="0"/>
          <w:i w:val="0"/>
          <w:spacing w:val="0"/>
          <w:sz w:val="24"/>
        </w:rPr>
        <w:t>-Adobe Photoshop：图像处理软件，适合后期图片编辑与展示</w:t>
      </w:r>
    </w:p>
    <w:p w14:paraId="1D644925">
      <w:pPr>
        <w:pageBreakBefore w:val="0"/>
        <w:wordWrap/>
        <w:spacing w:before="160" w:after="0"/>
        <w:ind w:left="0" w:right="0"/>
        <w:jc w:val="left"/>
        <w:textAlignment w:val="auto"/>
        <w:rPr>
          <w:sz w:val="24"/>
        </w:rPr>
      </w:pPr>
      <w:r>
        <w:rPr>
          <w:rFonts w:ascii="宋体" w:hAnsi="宋体" w:eastAsia="宋体" w:cs="宋体"/>
          <w:b/>
          <w:i w:val="0"/>
          <w:spacing w:val="0"/>
          <w:sz w:val="24"/>
        </w:rPr>
        <w:t>供应商名录</w:t>
      </w:r>
      <w:r>
        <w:rPr>
          <w:rFonts w:ascii="宋体" w:hAnsi="宋体" w:eastAsia="宋体" w:cs="宋体"/>
          <w:b w:val="0"/>
          <w:i w:val="0"/>
          <w:spacing w:val="0"/>
          <w:sz w:val="24"/>
        </w:rPr>
        <w:t>：</w:t>
      </w:r>
    </w:p>
    <w:p w14:paraId="00656D8D">
      <w:pPr>
        <w:pageBreakBefore w:val="0"/>
        <w:numPr>
          <w:ilvl w:val="0"/>
          <w:numId w:val="69"/>
        </w:numPr>
        <w:wordWrap/>
        <w:spacing w:before="160" w:after="0"/>
        <w:ind w:left="440" w:right="0" w:hanging="440"/>
        <w:jc w:val="left"/>
        <w:textAlignment w:val="auto"/>
        <w:rPr>
          <w:sz w:val="24"/>
        </w:rPr>
      </w:pPr>
      <w:r>
        <w:rPr>
          <w:rFonts w:ascii="宋体" w:hAnsi="宋体" w:eastAsia="宋体" w:cs="宋体"/>
          <w:b w:val="0"/>
          <w:i w:val="0"/>
          <w:spacing w:val="0"/>
          <w:sz w:val="24"/>
        </w:rPr>
        <w:t>水族箱：亚克力水族箱、玻璃水族箱等</w:t>
      </w:r>
    </w:p>
    <w:p w14:paraId="72EAB42D">
      <w:pPr>
        <w:pageBreakBefore w:val="0"/>
        <w:numPr>
          <w:ilvl w:val="0"/>
          <w:numId w:val="69"/>
        </w:numPr>
        <w:wordWrap/>
        <w:spacing w:before="160" w:after="0"/>
        <w:ind w:left="440" w:right="0" w:hanging="440"/>
        <w:jc w:val="left"/>
        <w:textAlignment w:val="auto"/>
        <w:rPr>
          <w:sz w:val="24"/>
        </w:rPr>
      </w:pPr>
      <w:r>
        <w:rPr>
          <w:rFonts w:ascii="宋体" w:hAnsi="宋体" w:eastAsia="宋体" w:cs="宋体"/>
          <w:b w:val="0"/>
          <w:i w:val="0"/>
          <w:spacing w:val="0"/>
          <w:sz w:val="24"/>
        </w:rPr>
        <w:t>造景材料：沉木、青龙石、松皮石、水草、底砂等</w:t>
      </w:r>
    </w:p>
    <w:p w14:paraId="3923BF8A">
      <w:pPr>
        <w:pageBreakBefore w:val="0"/>
        <w:numPr>
          <w:ilvl w:val="0"/>
          <w:numId w:val="69"/>
        </w:numPr>
        <w:wordWrap/>
        <w:spacing w:before="160" w:after="0"/>
        <w:ind w:left="440" w:right="0" w:hanging="440"/>
        <w:jc w:val="left"/>
        <w:textAlignment w:val="auto"/>
        <w:rPr>
          <w:sz w:val="24"/>
        </w:rPr>
      </w:pPr>
      <w:r>
        <w:rPr>
          <w:rFonts w:ascii="宋体" w:hAnsi="宋体" w:eastAsia="宋体" w:cs="宋体"/>
          <w:b w:val="0"/>
          <w:i w:val="0"/>
          <w:spacing w:val="0"/>
          <w:sz w:val="24"/>
        </w:rPr>
        <w:t>水族设备：过滤系统、照明系统、CO₂系统、温控设备等</w:t>
      </w:r>
    </w:p>
    <w:p w14:paraId="47201424">
      <w:pPr>
        <w:pageBreakBefore w:val="0"/>
        <w:numPr>
          <w:ilvl w:val="0"/>
          <w:numId w:val="69"/>
        </w:numPr>
        <w:wordWrap/>
        <w:spacing w:before="160" w:after="0"/>
        <w:ind w:left="440" w:right="0" w:hanging="440"/>
        <w:jc w:val="left"/>
        <w:textAlignment w:val="auto"/>
        <w:rPr>
          <w:sz w:val="24"/>
        </w:rPr>
      </w:pPr>
      <w:r>
        <w:rPr>
          <w:rFonts w:ascii="宋体" w:hAnsi="宋体" w:eastAsia="宋体" w:cs="宋体"/>
          <w:b w:val="0"/>
          <w:i w:val="0"/>
          <w:spacing w:val="0"/>
          <w:sz w:val="24"/>
        </w:rPr>
        <w:t>观赏水族：鱼类、虾类、螺类等</w:t>
      </w:r>
    </w:p>
    <w:p w14:paraId="13409E6A">
      <w:pPr>
        <w:pageBreakBefore w:val="0"/>
        <w:wordWrap/>
        <w:spacing w:before="160" w:after="0"/>
        <w:ind w:left="0" w:right="0"/>
        <w:jc w:val="left"/>
        <w:textAlignment w:val="auto"/>
        <w:rPr>
          <w:sz w:val="24"/>
        </w:rPr>
      </w:pPr>
      <w:r>
        <w:rPr>
          <w:rFonts w:ascii="宋体" w:hAnsi="宋体" w:eastAsia="宋体" w:cs="宋体"/>
          <w:b/>
          <w:i w:val="0"/>
          <w:spacing w:val="0"/>
          <w:sz w:val="24"/>
        </w:rPr>
        <w:t>学习资源</w:t>
      </w:r>
      <w:r>
        <w:rPr>
          <w:rFonts w:ascii="宋体" w:hAnsi="宋体" w:eastAsia="宋体" w:cs="宋体"/>
          <w:b w:val="0"/>
          <w:i w:val="0"/>
          <w:spacing w:val="0"/>
          <w:sz w:val="24"/>
        </w:rPr>
        <w:t>：</w:t>
      </w:r>
    </w:p>
    <w:p w14:paraId="5A9A9624">
      <w:pPr>
        <w:pageBreakBefore w:val="0"/>
        <w:numPr>
          <w:ilvl w:val="0"/>
          <w:numId w:val="70"/>
        </w:numPr>
        <w:wordWrap/>
        <w:spacing w:before="160" w:after="0"/>
        <w:ind w:left="440" w:right="0" w:hanging="440"/>
        <w:jc w:val="left"/>
        <w:textAlignment w:val="auto"/>
        <w:rPr>
          <w:sz w:val="24"/>
        </w:rPr>
      </w:pPr>
      <w:r>
        <w:rPr>
          <w:rFonts w:ascii="宋体" w:hAnsi="宋体" w:eastAsia="宋体" w:cs="宋体"/>
          <w:b w:val="0"/>
          <w:i w:val="0"/>
          <w:spacing w:val="0"/>
          <w:sz w:val="24"/>
        </w:rPr>
        <w:t>书籍：《水族景观规划设计》、《水草造景艺术》等</w:t>
      </w:r>
    </w:p>
    <w:p w14:paraId="56FA9E2D">
      <w:pPr>
        <w:pageBreakBefore w:val="0"/>
        <w:numPr>
          <w:ilvl w:val="0"/>
          <w:numId w:val="70"/>
        </w:numPr>
        <w:wordWrap/>
        <w:spacing w:before="160" w:after="0"/>
        <w:ind w:left="440" w:right="0" w:hanging="440"/>
        <w:jc w:val="left"/>
        <w:textAlignment w:val="auto"/>
        <w:rPr>
          <w:sz w:val="24"/>
        </w:rPr>
      </w:pPr>
      <w:r>
        <w:rPr>
          <w:rFonts w:ascii="宋体" w:hAnsi="宋体" w:eastAsia="宋体" w:cs="宋体"/>
          <w:b w:val="0"/>
          <w:i w:val="0"/>
          <w:spacing w:val="0"/>
          <w:sz w:val="24"/>
        </w:rPr>
        <w:t>网站：ADA官网、IAPLC官网、中国渔业协会水族造景分会官网等</w:t>
      </w:r>
    </w:p>
    <w:p w14:paraId="4477D7DD">
      <w:pPr>
        <w:pageBreakBefore w:val="0"/>
        <w:numPr>
          <w:ilvl w:val="0"/>
          <w:numId w:val="70"/>
        </w:numPr>
        <w:wordWrap/>
        <w:spacing w:before="160" w:after="0"/>
        <w:ind w:left="440" w:right="0" w:hanging="440"/>
        <w:jc w:val="left"/>
        <w:textAlignment w:val="auto"/>
        <w:rPr>
          <w:sz w:val="24"/>
        </w:rPr>
      </w:pPr>
      <w:r>
        <w:rPr>
          <w:rFonts w:ascii="宋体" w:hAnsi="宋体" w:eastAsia="宋体" w:cs="宋体"/>
          <w:b w:val="0"/>
          <w:i w:val="0"/>
          <w:spacing w:val="0"/>
          <w:sz w:val="24"/>
        </w:rPr>
        <w:t>视频：B站水族造景教程、YouTube水族造景比赛实况等</w:t>
      </w:r>
    </w:p>
    <w:p w14:paraId="4D4419E9">
      <w:pPr>
        <w:pageBreakBefore w:val="0"/>
        <w:numPr>
          <w:ilvl w:val="0"/>
          <w:numId w:val="70"/>
        </w:numPr>
        <w:wordWrap/>
        <w:spacing w:before="160" w:after="0"/>
        <w:ind w:left="440" w:right="0" w:hanging="440"/>
        <w:jc w:val="left"/>
        <w:textAlignment w:val="auto"/>
        <w:rPr>
          <w:sz w:val="24"/>
        </w:rPr>
      </w:pPr>
      <w:r>
        <w:rPr>
          <w:rFonts w:ascii="宋体" w:hAnsi="宋体" w:eastAsia="宋体" w:cs="宋体"/>
          <w:b w:val="0"/>
          <w:i w:val="0"/>
          <w:spacing w:val="0"/>
          <w:sz w:val="24"/>
        </w:rPr>
        <w:t>论坛：水族论坛、水草论坛、造景爱好者社区等</w:t>
      </w:r>
    </w:p>
    <w:p w14:paraId="6DA62EE8">
      <w:pPr>
        <w:pageBreakBefore w:val="0"/>
        <w:wordWrap/>
        <w:spacing w:before="160" w:after="0"/>
        <w:ind w:left="0" w:right="0"/>
        <w:jc w:val="left"/>
        <w:textAlignment w:val="auto"/>
        <w:rPr>
          <w:sz w:val="24"/>
        </w:rPr>
      </w:pPr>
      <w:r>
        <w:rPr>
          <w:rFonts w:ascii="宋体" w:hAnsi="宋体" w:eastAsia="宋体" w:cs="宋体"/>
          <w:b/>
          <w:i w:val="0"/>
          <w:spacing w:val="0"/>
          <w:sz w:val="24"/>
        </w:rPr>
        <w:t>附录3：典型赛事评审标准表格</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60"/>
        <w:gridCol w:w="2060"/>
        <w:gridCol w:w="2060"/>
        <w:gridCol w:w="2060"/>
      </w:tblGrid>
      <w:tr w14:paraId="67EF92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shd w:val="clear" w:color="auto" w:fill="EEEEEE"/>
          </w:tcPr>
          <w:p w14:paraId="509A9D9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评审维度</w:t>
            </w:r>
          </w:p>
        </w:tc>
        <w:tc>
          <w:tcPr>
            <w:tcW w:w="2060" w:type="dxa"/>
            <w:shd w:val="clear" w:color="auto" w:fill="EEEEEE"/>
          </w:tcPr>
          <w:p w14:paraId="0FC627B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权重</w:t>
            </w:r>
          </w:p>
        </w:tc>
        <w:tc>
          <w:tcPr>
            <w:tcW w:w="2060" w:type="dxa"/>
            <w:shd w:val="clear" w:color="auto" w:fill="EEEEEE"/>
          </w:tcPr>
          <w:p w14:paraId="2EDBFE2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评审要点</w:t>
            </w:r>
          </w:p>
        </w:tc>
        <w:tc>
          <w:tcPr>
            <w:tcW w:w="2060" w:type="dxa"/>
            <w:shd w:val="clear" w:color="auto" w:fill="EEEEEE"/>
          </w:tcPr>
          <w:p w14:paraId="6F75C23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评分标准</w:t>
            </w:r>
          </w:p>
        </w:tc>
      </w:tr>
      <w:tr w14:paraId="3CF537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000929F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设计思路</w:t>
            </w:r>
          </w:p>
        </w:tc>
        <w:tc>
          <w:tcPr>
            <w:tcW w:w="2060" w:type="dxa"/>
          </w:tcPr>
          <w:p w14:paraId="2ECD767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20%</w:t>
            </w:r>
          </w:p>
        </w:tc>
        <w:tc>
          <w:tcPr>
            <w:tcW w:w="2060" w:type="dxa"/>
          </w:tcPr>
          <w:p w14:paraId="1D98FE6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主题契合度、设计创新性、生态合理性</w:t>
            </w:r>
          </w:p>
        </w:tc>
        <w:tc>
          <w:tcPr>
            <w:tcW w:w="2060" w:type="dxa"/>
          </w:tcPr>
          <w:p w14:paraId="5038F02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根据主题与赛事主题的契合度、设计的创新性与独特性、生态系统的合理性与科学性进行评分</w:t>
            </w:r>
          </w:p>
        </w:tc>
      </w:tr>
      <w:tr w14:paraId="46C069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434DD4A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艺术表现</w:t>
            </w:r>
          </w:p>
        </w:tc>
        <w:tc>
          <w:tcPr>
            <w:tcW w:w="2060" w:type="dxa"/>
          </w:tcPr>
          <w:p w14:paraId="112B879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30%</w:t>
            </w:r>
          </w:p>
        </w:tc>
        <w:tc>
          <w:tcPr>
            <w:tcW w:w="2060" w:type="dxa"/>
          </w:tcPr>
          <w:p w14:paraId="5591909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构图美感、色彩搭配、层次感、视觉冲击力</w:t>
            </w:r>
          </w:p>
        </w:tc>
        <w:tc>
          <w:tcPr>
            <w:tcW w:w="2060" w:type="dxa"/>
          </w:tcPr>
          <w:p w14:paraId="1A9F274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根据作品的构图美感、色彩搭配的协调性、层次感的处理、视觉冲击力的强弱进行评分</w:t>
            </w:r>
          </w:p>
        </w:tc>
      </w:tr>
      <w:tr w14:paraId="792AAD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2F78A51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创意性</w:t>
            </w:r>
          </w:p>
        </w:tc>
        <w:tc>
          <w:tcPr>
            <w:tcW w:w="2060" w:type="dxa"/>
          </w:tcPr>
          <w:p w14:paraId="4D8A0EB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30%</w:t>
            </w:r>
          </w:p>
        </w:tc>
        <w:tc>
          <w:tcPr>
            <w:tcW w:w="2060" w:type="dxa"/>
          </w:tcPr>
          <w:p w14:paraId="67B1397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创新理念、技术突破、文化融合</w:t>
            </w:r>
          </w:p>
        </w:tc>
        <w:tc>
          <w:tcPr>
            <w:tcW w:w="2060" w:type="dxa"/>
          </w:tcPr>
          <w:p w14:paraId="68DFE23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根据作品的创新理念、技术上的突破与创新、文化元素的融合与表达进行评分</w:t>
            </w:r>
          </w:p>
        </w:tc>
      </w:tr>
      <w:tr w14:paraId="490BD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060" w:type="dxa"/>
          </w:tcPr>
          <w:p w14:paraId="5E29A69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架构稳定性</w:t>
            </w:r>
          </w:p>
        </w:tc>
        <w:tc>
          <w:tcPr>
            <w:tcW w:w="2060" w:type="dxa"/>
          </w:tcPr>
          <w:p w14:paraId="6D5ACA3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20%</w:t>
            </w:r>
          </w:p>
        </w:tc>
        <w:tc>
          <w:tcPr>
            <w:tcW w:w="2060" w:type="dxa"/>
          </w:tcPr>
          <w:p w14:paraId="3B138B1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骨架牢固性、生态系统稳定性、可维护性</w:t>
            </w:r>
          </w:p>
        </w:tc>
        <w:tc>
          <w:tcPr>
            <w:tcW w:w="2060" w:type="dxa"/>
          </w:tcPr>
          <w:p w14:paraId="493D86A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根据作品骨架的牢固性、生态系统的稳定性与可持续性、日常维护的便利性进行评分</w:t>
            </w:r>
          </w:p>
        </w:tc>
      </w:tr>
    </w:tbl>
    <w:p w14:paraId="7B2DBACB">
      <w:pPr>
        <w:pageBreakBefore w:val="0"/>
        <w:wordWrap/>
        <w:spacing w:before="160" w:after="0"/>
        <w:ind w:left="0" w:right="0"/>
        <w:jc w:val="left"/>
        <w:textAlignment w:val="auto"/>
        <w:rPr>
          <w:sz w:val="24"/>
        </w:rPr>
      </w:pPr>
      <w:r>
        <w:rPr>
          <w:rFonts w:ascii="宋体" w:hAnsi="宋体" w:eastAsia="宋体" w:cs="宋体"/>
          <w:b/>
          <w:i w:val="0"/>
          <w:spacing w:val="0"/>
          <w:sz w:val="24"/>
        </w:rPr>
        <w:t>注</w:t>
      </w:r>
      <w:r>
        <w:rPr>
          <w:rFonts w:ascii="宋体" w:hAnsi="宋体" w:eastAsia="宋体" w:cs="宋体"/>
          <w:b w:val="0"/>
          <w:i w:val="0"/>
          <w:spacing w:val="0"/>
          <w:sz w:val="24"/>
        </w:rPr>
        <w:t>：评审标准可能因赛事不同有所差异，具体以各赛事官方通知为准。</w:t>
      </w:r>
    </w:p>
    <w:p w14:paraId="2E7D6CB3">
      <w:pPr>
        <w:spacing w:line="240" w:lineRule="auto"/>
        <w:ind w:left="0" w:firstLine="0"/>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
    <w:nsid w:val="845B5372"/>
    <w:multiLevelType w:val="multilevel"/>
    <w:tmpl w:val="845B5372"/>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
    <w:nsid w:val="8461FADE"/>
    <w:multiLevelType w:val="multilevel"/>
    <w:tmpl w:val="8461FAD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
    <w:nsid w:val="8CAEB125"/>
    <w:multiLevelType w:val="multilevel"/>
    <w:tmpl w:val="8CAEB125"/>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
    <w:nsid w:val="91995D4F"/>
    <w:multiLevelType w:val="multilevel"/>
    <w:tmpl w:val="91995D4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
    <w:nsid w:val="91B69C97"/>
    <w:multiLevelType w:val="multilevel"/>
    <w:tmpl w:val="91B69C97"/>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6">
    <w:nsid w:val="9239341B"/>
    <w:multiLevelType w:val="multilevel"/>
    <w:tmpl w:val="9239341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
    <w:nsid w:val="9288B902"/>
    <w:multiLevelType w:val="multilevel"/>
    <w:tmpl w:val="9288B902"/>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
    <w:nsid w:val="9377BC45"/>
    <w:multiLevelType w:val="multilevel"/>
    <w:tmpl w:val="9377BC45"/>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9">
    <w:nsid w:val="9ACF65A0"/>
    <w:multiLevelType w:val="multilevel"/>
    <w:tmpl w:val="9ACF65A0"/>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10">
    <w:nsid w:val="9C8AC8EF"/>
    <w:multiLevelType w:val="multilevel"/>
    <w:tmpl w:val="9C8AC8E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1">
    <w:nsid w:val="9D5D7490"/>
    <w:multiLevelType w:val="multilevel"/>
    <w:tmpl w:val="9D5D7490"/>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12">
    <w:nsid w:val="A0C93552"/>
    <w:multiLevelType w:val="multilevel"/>
    <w:tmpl w:val="A0C93552"/>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3">
    <w:nsid w:val="A0F05207"/>
    <w:multiLevelType w:val="multilevel"/>
    <w:tmpl w:val="A0F05207"/>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4">
    <w:nsid w:val="AAF3F3FA"/>
    <w:multiLevelType w:val="multilevel"/>
    <w:tmpl w:val="AAF3F3FA"/>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15">
    <w:nsid w:val="B0ED9BEA"/>
    <w:multiLevelType w:val="multilevel"/>
    <w:tmpl w:val="B0ED9BE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6">
    <w:nsid w:val="B0F1ACD9"/>
    <w:multiLevelType w:val="multilevel"/>
    <w:tmpl w:val="B0F1ACD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7">
    <w:nsid w:val="B23A94A9"/>
    <w:multiLevelType w:val="multilevel"/>
    <w:tmpl w:val="B23A94A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8">
    <w:nsid w:val="B53F3350"/>
    <w:multiLevelType w:val="multilevel"/>
    <w:tmpl w:val="B53F3350"/>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9">
    <w:nsid w:val="B5E306ED"/>
    <w:multiLevelType w:val="multilevel"/>
    <w:tmpl w:val="B5E306ED"/>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0">
    <w:nsid w:val="B88D21A8"/>
    <w:multiLevelType w:val="multilevel"/>
    <w:tmpl w:val="B88D21A8"/>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1">
    <w:nsid w:val="B8CEF35B"/>
    <w:multiLevelType w:val="multilevel"/>
    <w:tmpl w:val="B8CEF35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2">
    <w:nsid w:val="BB64CFA9"/>
    <w:multiLevelType w:val="multilevel"/>
    <w:tmpl w:val="BB64CFA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3">
    <w:nsid w:val="BDA1395C"/>
    <w:multiLevelType w:val="multilevel"/>
    <w:tmpl w:val="BDA1395C"/>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4">
    <w:nsid w:val="BE8A4F4C"/>
    <w:multiLevelType w:val="multilevel"/>
    <w:tmpl w:val="BE8A4F4C"/>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5">
    <w:nsid w:val="BE923771"/>
    <w:multiLevelType w:val="multilevel"/>
    <w:tmpl w:val="BE923771"/>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6">
    <w:nsid w:val="BF205925"/>
    <w:multiLevelType w:val="multilevel"/>
    <w:tmpl w:val="BF205925"/>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7">
    <w:nsid w:val="C0915F4F"/>
    <w:multiLevelType w:val="multilevel"/>
    <w:tmpl w:val="C0915F4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8">
    <w:nsid w:val="C4E0D24A"/>
    <w:multiLevelType w:val="multilevel"/>
    <w:tmpl w:val="C4E0D24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9">
    <w:nsid w:val="C8879AEF"/>
    <w:multiLevelType w:val="multilevel"/>
    <w:tmpl w:val="C8879AE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0">
    <w:nsid w:val="CF092B84"/>
    <w:multiLevelType w:val="multilevel"/>
    <w:tmpl w:val="CF092B8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1">
    <w:nsid w:val="D1EB1714"/>
    <w:multiLevelType w:val="multilevel"/>
    <w:tmpl w:val="D1EB171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2">
    <w:nsid w:val="D7D140E4"/>
    <w:multiLevelType w:val="multilevel"/>
    <w:tmpl w:val="D7D140E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3">
    <w:nsid w:val="D7F9FE59"/>
    <w:multiLevelType w:val="multilevel"/>
    <w:tmpl w:val="D7F9FE5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4">
    <w:nsid w:val="DAD3A854"/>
    <w:multiLevelType w:val="multilevel"/>
    <w:tmpl w:val="DAD3A854"/>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35">
    <w:nsid w:val="DCBA6B53"/>
    <w:multiLevelType w:val="multilevel"/>
    <w:tmpl w:val="DCBA6B53"/>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6">
    <w:nsid w:val="E093A4B0"/>
    <w:multiLevelType w:val="multilevel"/>
    <w:tmpl w:val="E093A4B0"/>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7">
    <w:nsid w:val="E504947C"/>
    <w:multiLevelType w:val="multilevel"/>
    <w:tmpl w:val="E504947C"/>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38">
    <w:nsid w:val="E7B27C5B"/>
    <w:multiLevelType w:val="multilevel"/>
    <w:tmpl w:val="E7B27C5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9">
    <w:nsid w:val="F0E89278"/>
    <w:multiLevelType w:val="multilevel"/>
    <w:tmpl w:val="F0E89278"/>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0">
    <w:nsid w:val="F4B5D9F5"/>
    <w:multiLevelType w:val="multilevel"/>
    <w:tmpl w:val="F4B5D9F5"/>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1">
    <w:nsid w:val="F689643B"/>
    <w:multiLevelType w:val="multilevel"/>
    <w:tmpl w:val="F689643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2">
    <w:nsid w:val="F7735DC9"/>
    <w:multiLevelType w:val="multilevel"/>
    <w:tmpl w:val="F7735DC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3">
    <w:nsid w:val="FEC2EA36"/>
    <w:multiLevelType w:val="multilevel"/>
    <w:tmpl w:val="FEC2EA36"/>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4">
    <w:nsid w:val="0053208E"/>
    <w:multiLevelType w:val="multilevel"/>
    <w:tmpl w:val="0053208E"/>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45">
    <w:nsid w:val="0248C179"/>
    <w:multiLevelType w:val="multilevel"/>
    <w:tmpl w:val="0248C17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6">
    <w:nsid w:val="03A63A41"/>
    <w:multiLevelType w:val="multilevel"/>
    <w:tmpl w:val="03A63A41"/>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7">
    <w:nsid w:val="03D62ECE"/>
    <w:multiLevelType w:val="multilevel"/>
    <w:tmpl w:val="03D62EC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8">
    <w:nsid w:val="0709FD3E"/>
    <w:multiLevelType w:val="multilevel"/>
    <w:tmpl w:val="0709FD3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49">
    <w:nsid w:val="0CEF100B"/>
    <w:multiLevelType w:val="multilevel"/>
    <w:tmpl w:val="0CEF100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0">
    <w:nsid w:val="0E640482"/>
    <w:multiLevelType w:val="multilevel"/>
    <w:tmpl w:val="0E640482"/>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1">
    <w:nsid w:val="0F9F9CCA"/>
    <w:multiLevelType w:val="multilevel"/>
    <w:tmpl w:val="0F9F9CC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2">
    <w:nsid w:val="12EADF99"/>
    <w:multiLevelType w:val="multilevel"/>
    <w:tmpl w:val="12EADF9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3">
    <w:nsid w:val="1450273B"/>
    <w:multiLevelType w:val="multilevel"/>
    <w:tmpl w:val="1450273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4">
    <w:nsid w:val="18F74015"/>
    <w:multiLevelType w:val="multilevel"/>
    <w:tmpl w:val="18F74015"/>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55">
    <w:nsid w:val="1ACDE60F"/>
    <w:multiLevelType w:val="multilevel"/>
    <w:tmpl w:val="1ACDE60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6">
    <w:nsid w:val="1BCBBCF0"/>
    <w:multiLevelType w:val="multilevel"/>
    <w:tmpl w:val="1BCBBCF0"/>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7">
    <w:nsid w:val="1C257C7B"/>
    <w:multiLevelType w:val="multilevel"/>
    <w:tmpl w:val="1C257C7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8">
    <w:nsid w:val="23E97754"/>
    <w:multiLevelType w:val="multilevel"/>
    <w:tmpl w:val="23E9775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59">
    <w:nsid w:val="243FCF68"/>
    <w:multiLevelType w:val="multilevel"/>
    <w:tmpl w:val="243FCF68"/>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0">
    <w:nsid w:val="2470EC97"/>
    <w:multiLevelType w:val="multilevel"/>
    <w:tmpl w:val="2470EC97"/>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1">
    <w:nsid w:val="25B654F3"/>
    <w:multiLevelType w:val="multilevel"/>
    <w:tmpl w:val="25B654F3"/>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2">
    <w:nsid w:val="2A8F537B"/>
    <w:multiLevelType w:val="multilevel"/>
    <w:tmpl w:val="2A8F537B"/>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3">
    <w:nsid w:val="2F2D79CE"/>
    <w:multiLevelType w:val="multilevel"/>
    <w:tmpl w:val="2F2D79C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4">
    <w:nsid w:val="30A0AC00"/>
    <w:multiLevelType w:val="multilevel"/>
    <w:tmpl w:val="30A0AC00"/>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5">
    <w:nsid w:val="30FC5B15"/>
    <w:multiLevelType w:val="multilevel"/>
    <w:tmpl w:val="30FC5B15"/>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6">
    <w:nsid w:val="322D85CA"/>
    <w:multiLevelType w:val="multilevel"/>
    <w:tmpl w:val="322D85C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7">
    <w:nsid w:val="32A7AF2D"/>
    <w:multiLevelType w:val="multilevel"/>
    <w:tmpl w:val="32A7AF2D"/>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8">
    <w:nsid w:val="35E83B33"/>
    <w:multiLevelType w:val="multilevel"/>
    <w:tmpl w:val="35E83B33"/>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69">
    <w:nsid w:val="39A0D9AC"/>
    <w:multiLevelType w:val="multilevel"/>
    <w:tmpl w:val="39A0D9AC"/>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0">
    <w:nsid w:val="3B8127DF"/>
    <w:multiLevelType w:val="multilevel"/>
    <w:tmpl w:val="3B8127D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1">
    <w:nsid w:val="40B249F9"/>
    <w:multiLevelType w:val="multilevel"/>
    <w:tmpl w:val="40B249F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2">
    <w:nsid w:val="46A08BB8"/>
    <w:multiLevelType w:val="multilevel"/>
    <w:tmpl w:val="46A08BB8"/>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3">
    <w:nsid w:val="4C1BAE26"/>
    <w:multiLevelType w:val="multilevel"/>
    <w:tmpl w:val="4C1BAE26"/>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4">
    <w:nsid w:val="4C3D7A74"/>
    <w:multiLevelType w:val="multilevel"/>
    <w:tmpl w:val="4C3D7A7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5">
    <w:nsid w:val="4D4DC07F"/>
    <w:multiLevelType w:val="multilevel"/>
    <w:tmpl w:val="4D4DC07F"/>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6">
    <w:nsid w:val="4D94DA66"/>
    <w:multiLevelType w:val="multilevel"/>
    <w:tmpl w:val="4D94DA66"/>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7">
    <w:nsid w:val="58765686"/>
    <w:multiLevelType w:val="multilevel"/>
    <w:tmpl w:val="58765686"/>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8">
    <w:nsid w:val="59ADCABA"/>
    <w:multiLevelType w:val="multilevel"/>
    <w:tmpl w:val="59ADCAB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79">
    <w:nsid w:val="59EEFD2A"/>
    <w:multiLevelType w:val="multilevel"/>
    <w:tmpl w:val="59EEFD2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0">
    <w:nsid w:val="5A241D34"/>
    <w:multiLevelType w:val="multilevel"/>
    <w:tmpl w:val="5A241D3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1">
    <w:nsid w:val="5E29AB5A"/>
    <w:multiLevelType w:val="multilevel"/>
    <w:tmpl w:val="5E29AB5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2">
    <w:nsid w:val="5FFFB1A7"/>
    <w:multiLevelType w:val="multilevel"/>
    <w:tmpl w:val="5FFFB1A7"/>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3">
    <w:nsid w:val="60382F6E"/>
    <w:multiLevelType w:val="multilevel"/>
    <w:tmpl w:val="60382F6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4">
    <w:nsid w:val="629F7852"/>
    <w:multiLevelType w:val="multilevel"/>
    <w:tmpl w:val="629F7852"/>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5">
    <w:nsid w:val="65CD0074"/>
    <w:multiLevelType w:val="multilevel"/>
    <w:tmpl w:val="65CD007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6">
    <w:nsid w:val="700FDCEF"/>
    <w:multiLevelType w:val="multilevel"/>
    <w:tmpl w:val="700FDCEF"/>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87">
    <w:nsid w:val="72183CF9"/>
    <w:multiLevelType w:val="multilevel"/>
    <w:tmpl w:val="72183CF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8">
    <w:nsid w:val="74C28B35"/>
    <w:multiLevelType w:val="multilevel"/>
    <w:tmpl w:val="74C28B35"/>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89">
    <w:nsid w:val="77633216"/>
    <w:multiLevelType w:val="multilevel"/>
    <w:tmpl w:val="77633216"/>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90">
    <w:nsid w:val="77ECEA79"/>
    <w:multiLevelType w:val="multilevel"/>
    <w:tmpl w:val="77ECEA7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91">
    <w:nsid w:val="79AA4FA4"/>
    <w:multiLevelType w:val="multilevel"/>
    <w:tmpl w:val="79AA4FA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92">
    <w:nsid w:val="7C246926"/>
    <w:multiLevelType w:val="multilevel"/>
    <w:tmpl w:val="7C246926"/>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93">
    <w:nsid w:val="7DEC2089"/>
    <w:multiLevelType w:val="multilevel"/>
    <w:tmpl w:val="7DEC2089"/>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num w:numId="1">
    <w:abstractNumId w:val="44"/>
  </w:num>
  <w:num w:numId="2">
    <w:abstractNumId w:val="30"/>
  </w:num>
  <w:num w:numId="3">
    <w:abstractNumId w:val="78"/>
  </w:num>
  <w:num w:numId="4">
    <w:abstractNumId w:val="26"/>
  </w:num>
  <w:num w:numId="5">
    <w:abstractNumId w:val="19"/>
  </w:num>
  <w:num w:numId="6">
    <w:abstractNumId w:val="47"/>
  </w:num>
  <w:num w:numId="7">
    <w:abstractNumId w:val="61"/>
  </w:num>
  <w:num w:numId="8">
    <w:abstractNumId w:val="87"/>
  </w:num>
  <w:num w:numId="9">
    <w:abstractNumId w:val="45"/>
  </w:num>
  <w:num w:numId="10">
    <w:abstractNumId w:val="6"/>
  </w:num>
  <w:num w:numId="11">
    <w:abstractNumId w:val="62"/>
  </w:num>
  <w:num w:numId="12">
    <w:abstractNumId w:val="80"/>
  </w:num>
  <w:num w:numId="13">
    <w:abstractNumId w:val="29"/>
  </w:num>
  <w:num w:numId="14">
    <w:abstractNumId w:val="75"/>
  </w:num>
  <w:num w:numId="15">
    <w:abstractNumId w:val="40"/>
  </w:num>
  <w:num w:numId="16">
    <w:abstractNumId w:val="60"/>
  </w:num>
  <w:num w:numId="17">
    <w:abstractNumId w:val="35"/>
  </w:num>
  <w:num w:numId="18">
    <w:abstractNumId w:val="33"/>
  </w:num>
  <w:num w:numId="19">
    <w:abstractNumId w:val="10"/>
  </w:num>
  <w:num w:numId="20">
    <w:abstractNumId w:val="73"/>
  </w:num>
  <w:num w:numId="21">
    <w:abstractNumId w:val="83"/>
  </w:num>
  <w:num w:numId="22">
    <w:abstractNumId w:val="50"/>
  </w:num>
  <w:num w:numId="23">
    <w:abstractNumId w:val="72"/>
  </w:num>
  <w:num w:numId="24">
    <w:abstractNumId w:val="16"/>
  </w:num>
  <w:num w:numId="25">
    <w:abstractNumId w:val="92"/>
  </w:num>
  <w:num w:numId="26">
    <w:abstractNumId w:val="90"/>
  </w:num>
  <w:num w:numId="27">
    <w:abstractNumId w:val="25"/>
  </w:num>
  <w:num w:numId="28">
    <w:abstractNumId w:val="84"/>
  </w:num>
  <w:num w:numId="29">
    <w:abstractNumId w:val="7"/>
  </w:num>
  <w:num w:numId="30">
    <w:abstractNumId w:val="69"/>
  </w:num>
  <w:num w:numId="31">
    <w:abstractNumId w:val="2"/>
  </w:num>
  <w:num w:numId="32">
    <w:abstractNumId w:val="77"/>
  </w:num>
  <w:num w:numId="33">
    <w:abstractNumId w:val="22"/>
  </w:num>
  <w:num w:numId="34">
    <w:abstractNumId w:val="4"/>
  </w:num>
  <w:num w:numId="35">
    <w:abstractNumId w:val="21"/>
  </w:num>
  <w:num w:numId="36">
    <w:abstractNumId w:val="81"/>
  </w:num>
  <w:num w:numId="37">
    <w:abstractNumId w:val="1"/>
  </w:num>
  <w:num w:numId="38">
    <w:abstractNumId w:val="55"/>
  </w:num>
  <w:num w:numId="39">
    <w:abstractNumId w:val="3"/>
  </w:num>
  <w:num w:numId="40">
    <w:abstractNumId w:val="82"/>
  </w:num>
  <w:num w:numId="41">
    <w:abstractNumId w:val="88"/>
  </w:num>
  <w:num w:numId="42">
    <w:abstractNumId w:val="74"/>
  </w:num>
  <w:num w:numId="43">
    <w:abstractNumId w:val="66"/>
  </w:num>
  <w:num w:numId="44">
    <w:abstractNumId w:val="85"/>
  </w:num>
  <w:num w:numId="45">
    <w:abstractNumId w:val="48"/>
  </w:num>
  <w:num w:numId="46">
    <w:abstractNumId w:val="49"/>
  </w:num>
  <w:num w:numId="47">
    <w:abstractNumId w:val="32"/>
  </w:num>
  <w:num w:numId="48">
    <w:abstractNumId w:val="67"/>
  </w:num>
  <w:num w:numId="49">
    <w:abstractNumId w:val="57"/>
  </w:num>
  <w:num w:numId="50">
    <w:abstractNumId w:val="39"/>
  </w:num>
  <w:num w:numId="51">
    <w:abstractNumId w:val="58"/>
  </w:num>
  <w:num w:numId="52">
    <w:abstractNumId w:val="18"/>
  </w:num>
  <w:num w:numId="53">
    <w:abstractNumId w:val="71"/>
  </w:num>
  <w:num w:numId="54">
    <w:abstractNumId w:val="51"/>
  </w:num>
  <w:num w:numId="55">
    <w:abstractNumId w:val="68"/>
  </w:num>
  <w:num w:numId="56">
    <w:abstractNumId w:val="46"/>
  </w:num>
  <w:num w:numId="57">
    <w:abstractNumId w:val="27"/>
  </w:num>
  <w:num w:numId="58">
    <w:abstractNumId w:val="52"/>
  </w:num>
  <w:num w:numId="59">
    <w:abstractNumId w:val="17"/>
  </w:num>
  <w:num w:numId="60">
    <w:abstractNumId w:val="70"/>
  </w:num>
  <w:num w:numId="61">
    <w:abstractNumId w:val="13"/>
  </w:num>
  <w:num w:numId="62">
    <w:abstractNumId w:val="41"/>
  </w:num>
  <w:num w:numId="63">
    <w:abstractNumId w:val="64"/>
  </w:num>
  <w:num w:numId="64">
    <w:abstractNumId w:val="93"/>
  </w:num>
  <w:num w:numId="65">
    <w:abstractNumId w:val="0"/>
  </w:num>
  <w:num w:numId="66">
    <w:abstractNumId w:val="59"/>
  </w:num>
  <w:num w:numId="67">
    <w:abstractNumId w:val="76"/>
  </w:num>
  <w:num w:numId="68">
    <w:abstractNumId w:val="42"/>
  </w:num>
  <w:num w:numId="69">
    <w:abstractNumId w:val="36"/>
  </w:num>
  <w:num w:numId="70">
    <w:abstractNumId w:val="65"/>
  </w:num>
  <w:num w:numId="71">
    <w:abstractNumId w:val="91"/>
  </w:num>
  <w:num w:numId="72">
    <w:abstractNumId w:val="43"/>
  </w:num>
  <w:num w:numId="73">
    <w:abstractNumId w:val="54"/>
  </w:num>
  <w:num w:numId="74">
    <w:abstractNumId w:val="86"/>
  </w:num>
  <w:num w:numId="75">
    <w:abstractNumId w:val="37"/>
  </w:num>
  <w:num w:numId="76">
    <w:abstractNumId w:val="28"/>
  </w:num>
  <w:num w:numId="77">
    <w:abstractNumId w:val="12"/>
  </w:num>
  <w:num w:numId="78">
    <w:abstractNumId w:val="89"/>
  </w:num>
  <w:num w:numId="79">
    <w:abstractNumId w:val="34"/>
  </w:num>
  <w:num w:numId="80">
    <w:abstractNumId w:val="20"/>
  </w:num>
  <w:num w:numId="81">
    <w:abstractNumId w:val="63"/>
  </w:num>
  <w:num w:numId="82">
    <w:abstractNumId w:val="38"/>
  </w:num>
  <w:num w:numId="83">
    <w:abstractNumId w:val="9"/>
  </w:num>
  <w:num w:numId="84">
    <w:abstractNumId w:val="79"/>
  </w:num>
  <w:num w:numId="85">
    <w:abstractNumId w:val="23"/>
  </w:num>
  <w:num w:numId="86">
    <w:abstractNumId w:val="15"/>
  </w:num>
  <w:num w:numId="87">
    <w:abstractNumId w:val="8"/>
  </w:num>
  <w:num w:numId="88">
    <w:abstractNumId w:val="11"/>
  </w:num>
  <w:num w:numId="89">
    <w:abstractNumId w:val="14"/>
  </w:num>
  <w:num w:numId="90">
    <w:abstractNumId w:val="5"/>
  </w:num>
  <w:num w:numId="91">
    <w:abstractNumId w:val="56"/>
  </w:num>
  <w:num w:numId="92">
    <w:abstractNumId w:val="24"/>
  </w:num>
  <w:num w:numId="93">
    <w:abstractNumId w:val="53"/>
  </w:num>
  <w:num w:numId="9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17F1A"/>
    <w:rsid w:val="00F30CA0"/>
    <w:rsid w:val="01C547E6"/>
    <w:rsid w:val="022A33D7"/>
    <w:rsid w:val="02B16677"/>
    <w:rsid w:val="03256637"/>
    <w:rsid w:val="03914CEF"/>
    <w:rsid w:val="054134AD"/>
    <w:rsid w:val="06887047"/>
    <w:rsid w:val="07D17DB0"/>
    <w:rsid w:val="087710DF"/>
    <w:rsid w:val="08D330F5"/>
    <w:rsid w:val="095B721E"/>
    <w:rsid w:val="09A45C60"/>
    <w:rsid w:val="09C24CF9"/>
    <w:rsid w:val="0B6920C9"/>
    <w:rsid w:val="0BF82F90"/>
    <w:rsid w:val="0C0679C8"/>
    <w:rsid w:val="0DFF4F4B"/>
    <w:rsid w:val="0E8E5D66"/>
    <w:rsid w:val="0F4D1F40"/>
    <w:rsid w:val="0F5D30F5"/>
    <w:rsid w:val="103D45DA"/>
    <w:rsid w:val="10E250B3"/>
    <w:rsid w:val="12DF0704"/>
    <w:rsid w:val="131F56A3"/>
    <w:rsid w:val="134949A7"/>
    <w:rsid w:val="135F7696"/>
    <w:rsid w:val="14FA4B3D"/>
    <w:rsid w:val="150A2F86"/>
    <w:rsid w:val="1552443C"/>
    <w:rsid w:val="15954AC3"/>
    <w:rsid w:val="169A6549"/>
    <w:rsid w:val="17E62C77"/>
    <w:rsid w:val="17F7713F"/>
    <w:rsid w:val="1A637E8D"/>
    <w:rsid w:val="1ABB2DBA"/>
    <w:rsid w:val="1B133348"/>
    <w:rsid w:val="1B6F1B8E"/>
    <w:rsid w:val="1C311C4C"/>
    <w:rsid w:val="1C58538F"/>
    <w:rsid w:val="1D713B23"/>
    <w:rsid w:val="1EC021F7"/>
    <w:rsid w:val="1F285479"/>
    <w:rsid w:val="1FC55C33"/>
    <w:rsid w:val="23EE6DF8"/>
    <w:rsid w:val="23F83619"/>
    <w:rsid w:val="2414485B"/>
    <w:rsid w:val="247A0843"/>
    <w:rsid w:val="250749B9"/>
    <w:rsid w:val="253C3683"/>
    <w:rsid w:val="25FB1B96"/>
    <w:rsid w:val="277314C4"/>
    <w:rsid w:val="29DC5ACE"/>
    <w:rsid w:val="2B5567B2"/>
    <w:rsid w:val="2C472C2E"/>
    <w:rsid w:val="2C815290"/>
    <w:rsid w:val="2DEC299E"/>
    <w:rsid w:val="2E47051C"/>
    <w:rsid w:val="2FCD4A51"/>
    <w:rsid w:val="30A47560"/>
    <w:rsid w:val="30F97020"/>
    <w:rsid w:val="314B1C20"/>
    <w:rsid w:val="31D82201"/>
    <w:rsid w:val="331E076C"/>
    <w:rsid w:val="34181F9A"/>
    <w:rsid w:val="363C0D56"/>
    <w:rsid w:val="378660C8"/>
    <w:rsid w:val="3834062E"/>
    <w:rsid w:val="3856442C"/>
    <w:rsid w:val="39546979"/>
    <w:rsid w:val="3A4E564F"/>
    <w:rsid w:val="3A804B9A"/>
    <w:rsid w:val="3B717F1A"/>
    <w:rsid w:val="3C2573FA"/>
    <w:rsid w:val="3D4B3015"/>
    <w:rsid w:val="3D93154D"/>
    <w:rsid w:val="3E8B46AB"/>
    <w:rsid w:val="403411E4"/>
    <w:rsid w:val="40A92971"/>
    <w:rsid w:val="412255E9"/>
    <w:rsid w:val="41AB79BE"/>
    <w:rsid w:val="41AC774B"/>
    <w:rsid w:val="421D7172"/>
    <w:rsid w:val="43C113B5"/>
    <w:rsid w:val="44837946"/>
    <w:rsid w:val="45A17992"/>
    <w:rsid w:val="45BA137B"/>
    <w:rsid w:val="464608DC"/>
    <w:rsid w:val="47E04D0F"/>
    <w:rsid w:val="48580735"/>
    <w:rsid w:val="48783354"/>
    <w:rsid w:val="48EC5B2F"/>
    <w:rsid w:val="4B50081C"/>
    <w:rsid w:val="4B7D394A"/>
    <w:rsid w:val="4BC91CE3"/>
    <w:rsid w:val="4BF83AF4"/>
    <w:rsid w:val="4CE13531"/>
    <w:rsid w:val="4CE6787B"/>
    <w:rsid w:val="4D9D2CC9"/>
    <w:rsid w:val="4E1F107E"/>
    <w:rsid w:val="4F8B1BBF"/>
    <w:rsid w:val="4FC652ED"/>
    <w:rsid w:val="4FE440F7"/>
    <w:rsid w:val="503778B4"/>
    <w:rsid w:val="506A2CD6"/>
    <w:rsid w:val="52CD1963"/>
    <w:rsid w:val="52E23187"/>
    <w:rsid w:val="53E41AB0"/>
    <w:rsid w:val="5457134B"/>
    <w:rsid w:val="54656B86"/>
    <w:rsid w:val="54CA3B23"/>
    <w:rsid w:val="55592415"/>
    <w:rsid w:val="55781EC6"/>
    <w:rsid w:val="5596418C"/>
    <w:rsid w:val="56BB75CD"/>
    <w:rsid w:val="57252E86"/>
    <w:rsid w:val="57F12FF3"/>
    <w:rsid w:val="59506409"/>
    <w:rsid w:val="5AED7EAF"/>
    <w:rsid w:val="5CE16EEF"/>
    <w:rsid w:val="5D184E4B"/>
    <w:rsid w:val="5DD1406E"/>
    <w:rsid w:val="5E1834C3"/>
    <w:rsid w:val="5F110EA8"/>
    <w:rsid w:val="5F6C7CDF"/>
    <w:rsid w:val="61510E8C"/>
    <w:rsid w:val="640C0AE2"/>
    <w:rsid w:val="653E4426"/>
    <w:rsid w:val="663042E0"/>
    <w:rsid w:val="6670727E"/>
    <w:rsid w:val="670E0185"/>
    <w:rsid w:val="675C7901"/>
    <w:rsid w:val="67972C90"/>
    <w:rsid w:val="68372DD3"/>
    <w:rsid w:val="688776AE"/>
    <w:rsid w:val="692524F5"/>
    <w:rsid w:val="69934FDB"/>
    <w:rsid w:val="69C2222A"/>
    <w:rsid w:val="69C3307B"/>
    <w:rsid w:val="6A223CAF"/>
    <w:rsid w:val="6A2922A9"/>
    <w:rsid w:val="6B900B29"/>
    <w:rsid w:val="6B910106"/>
    <w:rsid w:val="6BD31477"/>
    <w:rsid w:val="6C120F5B"/>
    <w:rsid w:val="6CCA79B3"/>
    <w:rsid w:val="6D0801EF"/>
    <w:rsid w:val="6D1D4911"/>
    <w:rsid w:val="6DE55E40"/>
    <w:rsid w:val="6E2C05BA"/>
    <w:rsid w:val="6E3773E8"/>
    <w:rsid w:val="709C192B"/>
    <w:rsid w:val="712212A8"/>
    <w:rsid w:val="718957D5"/>
    <w:rsid w:val="719E3CD7"/>
    <w:rsid w:val="737D520E"/>
    <w:rsid w:val="7391238F"/>
    <w:rsid w:val="753B48E1"/>
    <w:rsid w:val="76EE465E"/>
    <w:rsid w:val="779E794E"/>
    <w:rsid w:val="787159F4"/>
    <w:rsid w:val="7875412E"/>
    <w:rsid w:val="788F2197"/>
    <w:rsid w:val="78E8332F"/>
    <w:rsid w:val="79683DA9"/>
    <w:rsid w:val="79690E29"/>
    <w:rsid w:val="7A96424F"/>
    <w:rsid w:val="7AD56F4B"/>
    <w:rsid w:val="7B74701A"/>
    <w:rsid w:val="7C147D90"/>
    <w:rsid w:val="7CE710FA"/>
    <w:rsid w:val="7DB72F84"/>
    <w:rsid w:val="7DD97A56"/>
    <w:rsid w:val="7E4F6E8E"/>
    <w:rsid w:val="7E891395"/>
    <w:rsid w:val="7E8D2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正文一级标题"/>
    <w:qFormat/>
    <w:uiPriority w:val="1"/>
    <w:pPr>
      <w:spacing w:line="560" w:lineRule="exact"/>
      <w:ind w:left="0" w:right="0" w:firstLine="720"/>
      <w:jc w:val="both"/>
    </w:pPr>
    <w:rPr>
      <w:rFonts w:ascii="黑体" w:eastAsia="黑体" w:hAnsiTheme="minorHAnsi" w:cstheme="minorBidi"/>
      <w:b/>
      <w:sz w:val="36"/>
      <w:szCs w:val="22"/>
    </w:rPr>
  </w:style>
  <w:style w:type="paragraph" w:customStyle="1" w:styleId="8">
    <w:name w:val="正文二级标题"/>
    <w:qFormat/>
    <w:uiPriority w:val="1"/>
    <w:pPr>
      <w:spacing w:line="560" w:lineRule="exact"/>
      <w:ind w:left="0" w:right="0" w:firstLine="680"/>
      <w:jc w:val="both"/>
    </w:pPr>
    <w:rPr>
      <w:rFonts w:ascii="黑体" w:eastAsia="黑体" w:hAnsiTheme="minorHAnsi" w:cstheme="minorBidi"/>
      <w:b/>
      <w:sz w:val="34"/>
      <w:szCs w:val="22"/>
    </w:rPr>
  </w:style>
  <w:style w:type="paragraph" w:customStyle="1" w:styleId="9">
    <w:name w:val="正文 文本"/>
    <w:qFormat/>
    <w:uiPriority w:val="1"/>
    <w:pPr>
      <w:spacing w:line="560" w:lineRule="exact"/>
      <w:ind w:left="0" w:right="0" w:firstLine="640"/>
      <w:jc w:val="both"/>
    </w:pPr>
    <w:rPr>
      <w:rFonts w:ascii="宋体" w:eastAsia="宋体" w:hAnsiTheme="minorHAnsi" w:cstheme="minorBidi"/>
      <w:sz w:val="32"/>
      <w:szCs w:val="22"/>
    </w:rPr>
  </w:style>
  <w:style w:type="paragraph" w:customStyle="1" w:styleId="10">
    <w:name w:val="正文三级标题"/>
    <w:qFormat/>
    <w:uiPriority w:val="1"/>
    <w:pPr>
      <w:spacing w:line="560" w:lineRule="exact"/>
      <w:ind w:left="0" w:right="0" w:firstLine="640"/>
      <w:jc w:val="both"/>
    </w:pPr>
    <w:rPr>
      <w:rFonts w:ascii="黑体" w:eastAsia="黑体" w:hAnsiTheme="minorHAnsi" w:cstheme="minorBidi"/>
      <w:b/>
      <w:sz w:val="3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92</Pages>
  <Words>2772</Words>
  <Characters>3364</Characters>
  <Lines>0</Lines>
  <Paragraphs>0</Paragraphs>
  <TotalTime>9</TotalTime>
  <ScaleCrop>false</ScaleCrop>
  <LinksUpToDate>false</LinksUpToDate>
  <CharactersWithSpaces>3664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2026-02-19T13:27:00Z</dcterms:created>
  <dc:creator>周逸群</dc:creator>
  <cp:lastModifiedBy>周逸群</cp:lastModifiedBy>
  <dcterms:modified xsi:type="dcterms:W3CDTF">2026-02-28T19:18:02Z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5A699C86171145CAA688D51DF9A53DC5_11</vt:lpwstr>
  </property>
  <property fmtid="{D5CDD505-2E9C-101B-9397-08002B2CF9AE}" pid="4" name="KSOTemplateDocerSaveRecord">
    <vt:lpwstr>eyJoZGlkIjoiYTY3YmMwMjVkOTgxZGMyZGE2ZTBlNzcwZTQ0OTNhYWEiLCJ1c2VySWQiOiI5MTA4MTY1NDcifQ==</vt:lpwstr>
  </property>
</Properties>
</file>