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DC1AA">
      <w:pPr>
        <w:spacing w:line="360" w:lineRule="auto"/>
        <w:ind w:left="360" w:hanging="360" w:hangingChars="150"/>
        <w:rPr>
          <w:rFonts w:hint="eastAsia" w:eastAsia="黑体"/>
          <w:sz w:val="24"/>
          <w:u w:val="single"/>
        </w:rPr>
      </w:pPr>
      <w:r>
        <w:rPr>
          <w:rFonts w:hint="eastAsia" w:eastAsia="黑体"/>
          <w:sz w:val="24"/>
        </w:rPr>
        <w:t>命题方式：</w:t>
      </w:r>
      <w:r>
        <w:rPr>
          <w:rFonts w:hint="eastAsia" w:eastAsia="黑体"/>
          <w:sz w:val="24"/>
          <w:u w:val="single"/>
        </w:rPr>
        <w:t xml:space="preserve">    单独命题    </w:t>
      </w:r>
    </w:p>
    <w:p w14:paraId="3AA49C00">
      <w:pPr>
        <w:spacing w:line="380" w:lineRule="atLeast"/>
        <w:ind w:firstLine="2699" w:firstLineChars="896"/>
        <w:rPr>
          <w:rFonts w:hint="eastAsia" w:eastAsia="黑体"/>
          <w:b/>
          <w:bCs/>
          <w:sz w:val="30"/>
        </w:rPr>
      </w:pPr>
      <w:r>
        <w:rPr>
          <w:rFonts w:hint="eastAsia" w:eastAsia="黑体"/>
          <w:b/>
          <w:bCs/>
          <w:sz w:val="30"/>
          <w:lang w:val="en-US" w:eastAsia="zh-CN"/>
        </w:rPr>
        <w:t>佛山大学</w:t>
      </w:r>
      <w:r>
        <w:rPr>
          <w:rFonts w:hint="eastAsia" w:eastAsia="黑体"/>
          <w:b/>
          <w:bCs/>
          <w:sz w:val="30"/>
        </w:rPr>
        <w:t>20</w:t>
      </w:r>
      <w:r>
        <w:rPr>
          <w:rFonts w:eastAsia="黑体"/>
          <w:b/>
          <w:bCs/>
          <w:sz w:val="30"/>
        </w:rPr>
        <w:t>2</w:t>
      </w:r>
      <w:r>
        <w:rPr>
          <w:rFonts w:hint="eastAsia" w:eastAsia="黑体"/>
          <w:b/>
          <w:bCs/>
          <w:sz w:val="30"/>
          <w:lang w:val="en-US" w:eastAsia="zh-CN"/>
        </w:rPr>
        <w:t>5</w:t>
      </w:r>
      <w:r>
        <w:rPr>
          <w:rFonts w:hint="eastAsia" w:eastAsia="黑体"/>
          <w:b/>
          <w:bCs/>
          <w:sz w:val="30"/>
        </w:rPr>
        <w:t>—20</w:t>
      </w:r>
      <w:r>
        <w:rPr>
          <w:rFonts w:eastAsia="黑体"/>
          <w:b/>
          <w:bCs/>
          <w:sz w:val="30"/>
        </w:rPr>
        <w:t>2</w:t>
      </w:r>
      <w:r>
        <w:rPr>
          <w:rFonts w:hint="eastAsia" w:eastAsia="黑体"/>
          <w:b/>
          <w:bCs/>
          <w:sz w:val="30"/>
          <w:lang w:val="en-US" w:eastAsia="zh-CN"/>
        </w:rPr>
        <w:t>6</w:t>
      </w:r>
      <w:r>
        <w:rPr>
          <w:rFonts w:hint="eastAsia" w:eastAsia="黑体"/>
          <w:b/>
          <w:bCs/>
          <w:sz w:val="30"/>
        </w:rPr>
        <w:t>学年第一学期</w:t>
      </w:r>
    </w:p>
    <w:p w14:paraId="3230F7B5">
      <w:pPr>
        <w:spacing w:line="380" w:lineRule="atLeast"/>
        <w:ind w:left="298" w:leftChars="142" w:firstLine="2096" w:firstLineChars="696"/>
        <w:rPr>
          <w:rFonts w:hint="eastAsia" w:eastAsia="黑体"/>
          <w:sz w:val="24"/>
          <w:u w:val="single"/>
        </w:rPr>
      </w:pPr>
      <w:bookmarkStart w:id="0" w:name="_GoBack"/>
      <w:bookmarkEnd w:id="0"/>
      <w:r>
        <w:rPr>
          <w:rFonts w:hint="eastAsia" w:eastAsia="黑体"/>
          <w:b/>
          <w:bCs/>
          <w:sz w:val="30"/>
        </w:rPr>
        <w:t>《专业导论》课程期末考试试题 A 卷</w:t>
      </w:r>
      <w:r>
        <w:rPr>
          <w:rFonts w:hint="eastAsia" w:eastAsia="黑体"/>
          <w:b/>
          <w:bCs/>
          <w:sz w:val="30"/>
          <w:lang w:val="en-US" w:eastAsia="zh-CN"/>
        </w:rPr>
        <w:t xml:space="preserve">      </w:t>
      </w:r>
      <w:r>
        <w:rPr>
          <w:rFonts w:hint="eastAsia" w:eastAsia="黑体"/>
          <w:sz w:val="24"/>
        </w:rPr>
        <w:t>专业、班级：</w:t>
      </w:r>
      <w:r>
        <w:rPr>
          <w:rFonts w:eastAsia="黑体"/>
          <w:b/>
          <w:szCs w:val="21"/>
          <w:u w:val="single"/>
        </w:rPr>
        <w:t>2</w:t>
      </w:r>
      <w:r>
        <w:rPr>
          <w:rFonts w:hint="eastAsia" w:eastAsia="黑体"/>
          <w:b/>
          <w:szCs w:val="21"/>
          <w:u w:val="single"/>
          <w:lang w:val="en-US" w:eastAsia="zh-CN"/>
        </w:rPr>
        <w:t>5</w:t>
      </w:r>
      <w:r>
        <w:rPr>
          <w:rFonts w:hint="eastAsia" w:eastAsia="黑体"/>
          <w:b/>
          <w:szCs w:val="21"/>
          <w:u w:val="single"/>
        </w:rPr>
        <w:t>学前</w:t>
      </w:r>
      <w:r>
        <w:rPr>
          <w:rFonts w:hint="eastAsia" w:eastAsia="黑体"/>
          <w:b/>
          <w:szCs w:val="21"/>
          <w:u w:val="single"/>
          <w:lang w:val="en-US" w:eastAsia="zh-CN"/>
        </w:rPr>
        <w:t>教育（师范）2班</w:t>
      </w:r>
      <w:r>
        <w:rPr>
          <w:rFonts w:eastAsia="黑体"/>
          <w:b/>
          <w:szCs w:val="21"/>
          <w:u w:val="single"/>
        </w:rPr>
        <w:t xml:space="preserve">    </w:t>
      </w:r>
      <w:r>
        <w:rPr>
          <w:rFonts w:hint="eastAsia" w:eastAsia="黑体"/>
          <w:b/>
          <w:szCs w:val="21"/>
        </w:rPr>
        <w:t xml:space="preserve"> </w:t>
      </w:r>
      <w:r>
        <w:rPr>
          <w:rFonts w:hint="eastAsia" w:eastAsia="黑体"/>
          <w:b/>
          <w:szCs w:val="21"/>
          <w:lang w:val="en-US" w:eastAsia="zh-CN"/>
        </w:rPr>
        <w:t xml:space="preserve"> </w:t>
      </w:r>
      <w:r>
        <w:rPr>
          <w:rFonts w:hint="eastAsia" w:eastAsia="黑体"/>
          <w:sz w:val="24"/>
          <w:shd w:val="clear" w:color="auto" w:fill="auto"/>
        </w:rPr>
        <w:t>姓名：</w:t>
      </w:r>
      <w:r>
        <w:rPr>
          <w:rFonts w:hint="eastAsia" w:eastAsia="黑体"/>
          <w:sz w:val="24"/>
          <w:u w:val="single"/>
          <w:shd w:val="clear" w:color="auto" w:fill="auto"/>
        </w:rPr>
        <w:t xml:space="preserve">     </w:t>
      </w:r>
      <w:r>
        <w:rPr>
          <w:rFonts w:hint="eastAsia" w:eastAsia="黑体"/>
          <w:sz w:val="24"/>
          <w:u w:val="single"/>
          <w:shd w:val="clear" w:color="auto" w:fill="auto"/>
          <w:lang w:val="en-US" w:eastAsia="zh-CN"/>
        </w:rPr>
        <w:t>刘俊驿</w:t>
      </w:r>
      <w:r>
        <w:rPr>
          <w:rFonts w:hint="eastAsia" w:eastAsia="黑体"/>
          <w:sz w:val="24"/>
          <w:u w:val="single"/>
          <w:shd w:val="clear" w:color="auto" w:fill="auto"/>
        </w:rPr>
        <w:t xml:space="preserve">      </w:t>
      </w:r>
      <w:r>
        <w:rPr>
          <w:rFonts w:hint="eastAsia" w:eastAsia="黑体"/>
          <w:sz w:val="24"/>
          <w:shd w:val="clear" w:color="auto" w:fill="auto"/>
        </w:rPr>
        <w:t xml:space="preserve"> </w:t>
      </w:r>
      <w:r>
        <w:rPr>
          <w:rFonts w:hint="eastAsia" w:eastAsia="黑体"/>
          <w:sz w:val="24"/>
          <w:shd w:val="clear" w:color="auto" w:fill="auto"/>
          <w:lang w:val="en-US" w:eastAsia="zh-CN"/>
        </w:rPr>
        <w:t xml:space="preserve"> </w:t>
      </w:r>
      <w:r>
        <w:rPr>
          <w:rFonts w:hint="eastAsia" w:eastAsia="黑体"/>
          <w:sz w:val="24"/>
          <w:shd w:val="clear" w:color="auto" w:fill="auto"/>
        </w:rPr>
        <w:t xml:space="preserve"> </w:t>
      </w:r>
      <w:r>
        <w:rPr>
          <w:rFonts w:hint="eastAsia" w:eastAsia="黑体"/>
          <w:sz w:val="24"/>
        </w:rPr>
        <w:t>学号：</w:t>
      </w:r>
      <w:r>
        <w:rPr>
          <w:rFonts w:hint="eastAsia" w:eastAsia="黑体"/>
          <w:sz w:val="24"/>
          <w:u w:val="single"/>
        </w:rPr>
        <w:t xml:space="preserve"> </w:t>
      </w:r>
      <w:r>
        <w:rPr>
          <w:rFonts w:hint="eastAsia" w:eastAsia="黑体"/>
          <w:sz w:val="24"/>
          <w:u w:val="single"/>
          <w:lang w:val="en-US" w:eastAsia="zh-CN"/>
        </w:rPr>
        <w:t>20250940206</w:t>
      </w:r>
    </w:p>
    <w:tbl>
      <w:tblPr>
        <w:tblStyle w:val="5"/>
        <w:tblW w:w="9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29"/>
        <w:gridCol w:w="1330"/>
        <w:gridCol w:w="1329"/>
        <w:gridCol w:w="1330"/>
        <w:gridCol w:w="3393"/>
      </w:tblGrid>
      <w:tr w14:paraId="32C0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824" w:type="dxa"/>
            <w:noWrap w:val="0"/>
            <w:vAlign w:val="top"/>
          </w:tcPr>
          <w:p w14:paraId="589432D9">
            <w:r>
              <w:rPr>
                <w:rFonts w:hint="eastAsia" w:eastAsia="黑体"/>
                <w:sz w:val="24"/>
              </w:rPr>
              <w:t>题 号</w:t>
            </w:r>
          </w:p>
        </w:tc>
        <w:tc>
          <w:tcPr>
            <w:tcW w:w="1329" w:type="dxa"/>
            <w:noWrap w:val="0"/>
            <w:vAlign w:val="center"/>
          </w:tcPr>
          <w:p w14:paraId="4D711D7E">
            <w:pPr>
              <w:jc w:val="center"/>
              <w:rPr>
                <w:rFonts w:hint="eastAsia"/>
                <w:b/>
              </w:rPr>
            </w:pPr>
            <w:r>
              <w:rPr>
                <w:rFonts w:hint="eastAsia"/>
                <w:b/>
              </w:rPr>
              <w:t>一</w:t>
            </w:r>
          </w:p>
        </w:tc>
        <w:tc>
          <w:tcPr>
            <w:tcW w:w="1330" w:type="dxa"/>
            <w:noWrap w:val="0"/>
            <w:vAlign w:val="center"/>
          </w:tcPr>
          <w:p w14:paraId="5E31C4C9">
            <w:pPr>
              <w:jc w:val="center"/>
              <w:rPr>
                <w:rFonts w:hint="eastAsia"/>
                <w:b/>
              </w:rPr>
            </w:pPr>
            <w:r>
              <w:rPr>
                <w:rFonts w:hint="eastAsia"/>
                <w:b/>
              </w:rPr>
              <w:t>二</w:t>
            </w:r>
          </w:p>
        </w:tc>
        <w:tc>
          <w:tcPr>
            <w:tcW w:w="1329" w:type="dxa"/>
            <w:noWrap w:val="0"/>
            <w:vAlign w:val="center"/>
          </w:tcPr>
          <w:p w14:paraId="03DE5887">
            <w:pPr>
              <w:ind w:firstLine="422" w:firstLineChars="200"/>
              <w:rPr>
                <w:rFonts w:hint="eastAsia"/>
                <w:b/>
              </w:rPr>
            </w:pPr>
            <w:r>
              <w:rPr>
                <w:rFonts w:hint="eastAsia"/>
                <w:b/>
              </w:rPr>
              <w:t xml:space="preserve">三 </w:t>
            </w:r>
          </w:p>
        </w:tc>
        <w:tc>
          <w:tcPr>
            <w:tcW w:w="1330" w:type="dxa"/>
            <w:noWrap w:val="0"/>
            <w:vAlign w:val="center"/>
          </w:tcPr>
          <w:p w14:paraId="4399645F">
            <w:pPr>
              <w:jc w:val="center"/>
              <w:rPr>
                <w:rFonts w:hint="eastAsia"/>
                <w:b/>
              </w:rPr>
            </w:pPr>
            <w:r>
              <w:rPr>
                <w:rFonts w:hint="eastAsia"/>
                <w:b/>
              </w:rPr>
              <w:t>四</w:t>
            </w:r>
          </w:p>
        </w:tc>
        <w:tc>
          <w:tcPr>
            <w:tcW w:w="3393" w:type="dxa"/>
            <w:noWrap w:val="0"/>
            <w:vAlign w:val="center"/>
          </w:tcPr>
          <w:p w14:paraId="1B4AADCE">
            <w:pPr>
              <w:jc w:val="center"/>
            </w:pPr>
            <w:r>
              <w:rPr>
                <w:rFonts w:hint="eastAsia" w:eastAsia="黑体"/>
                <w:sz w:val="24"/>
              </w:rPr>
              <w:t>总成绩</w:t>
            </w:r>
          </w:p>
        </w:tc>
      </w:tr>
      <w:tr w14:paraId="0EE9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824" w:type="dxa"/>
            <w:noWrap w:val="0"/>
            <w:vAlign w:val="top"/>
          </w:tcPr>
          <w:p w14:paraId="68099142">
            <w:r>
              <w:rPr>
                <w:rFonts w:hint="eastAsia" w:eastAsia="黑体"/>
                <w:sz w:val="24"/>
              </w:rPr>
              <w:t>得 分</w:t>
            </w:r>
          </w:p>
        </w:tc>
        <w:tc>
          <w:tcPr>
            <w:tcW w:w="1329" w:type="dxa"/>
            <w:noWrap w:val="0"/>
            <w:vAlign w:val="center"/>
          </w:tcPr>
          <w:p w14:paraId="33A54B41">
            <w:pPr>
              <w:jc w:val="center"/>
            </w:pPr>
          </w:p>
        </w:tc>
        <w:tc>
          <w:tcPr>
            <w:tcW w:w="1330" w:type="dxa"/>
            <w:noWrap w:val="0"/>
            <w:vAlign w:val="center"/>
          </w:tcPr>
          <w:p w14:paraId="01BF77BA">
            <w:pPr>
              <w:jc w:val="center"/>
            </w:pPr>
          </w:p>
        </w:tc>
        <w:tc>
          <w:tcPr>
            <w:tcW w:w="1329" w:type="dxa"/>
            <w:noWrap w:val="0"/>
            <w:vAlign w:val="center"/>
          </w:tcPr>
          <w:p w14:paraId="5A4F0719">
            <w:pPr>
              <w:jc w:val="center"/>
            </w:pPr>
          </w:p>
        </w:tc>
        <w:tc>
          <w:tcPr>
            <w:tcW w:w="1330" w:type="dxa"/>
            <w:noWrap w:val="0"/>
            <w:vAlign w:val="center"/>
          </w:tcPr>
          <w:p w14:paraId="618FC949">
            <w:pPr>
              <w:jc w:val="center"/>
            </w:pPr>
          </w:p>
        </w:tc>
        <w:tc>
          <w:tcPr>
            <w:tcW w:w="3393" w:type="dxa"/>
            <w:noWrap w:val="0"/>
            <w:vAlign w:val="center"/>
          </w:tcPr>
          <w:p w14:paraId="16BD92FC">
            <w:pPr>
              <w:jc w:val="center"/>
            </w:pPr>
          </w:p>
        </w:tc>
      </w:tr>
    </w:tbl>
    <w:p w14:paraId="3E683948">
      <w:pPr>
        <w:pStyle w:val="2"/>
        <w:tabs>
          <w:tab w:val="left" w:pos="989"/>
          <w:tab w:val="center" w:pos="4212"/>
        </w:tabs>
        <w:bidi w:val="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学前教育（师范）专业导论</w:t>
      </w:r>
    </w:p>
    <w:p w14:paraId="1DEF5410">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学前教育是人生启蒙教育的基石，是国民教育体系的重要开端，肩负着为儿童终身发展奠定基础的重要使命。作为一名学前教育专业的在读本科生，深入剖析自身特质、洞察行业环境、明确职业目标并制定科学行动计划，是开启专业学习与职业发展之路的关键前提。以下将从自我分析、环境分析、职业目标设定、行动计划与策略四个方面，系统梳理我的学前教育专业成长蓝图。​</w:t>
      </w:r>
    </w:p>
    <w:p w14:paraId="1425D193">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一、自我分析​</w:t>
      </w:r>
    </w:p>
    <w:p w14:paraId="55FD4B39">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（一）优势特质​</w:t>
      </w:r>
    </w:p>
    <w:p w14:paraId="460F8A15">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在性格层面，我比较有耐心和同理心。自小就喜欢与孩童相处，能够敏锐捕捉到幼儿的情绪变化，面对幼儿的哭闹、调皮等状况，不会轻易产生烦躁情绪，反而能以温和的态度引导沟通。高中时期担任班级心理委员的经历，也让我学会了倾听与共情，这种能力在与幼儿及家长的交流中能够发挥重要作用。​</w:t>
      </w:r>
    </w:p>
    <w:p w14:paraId="424E6FFB">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在专业基础方面，我自幼学习古筝和舞蹈，具备一定的艺术素养，这为学前教育专业所需的艺术教学能力打下了良好基础。同时，我的语言表达能力较为突出，曾多次在校园演讲比赛中获奖，能够清晰、生动地向幼儿传递知识与道理。在学业上，我对教育学、心理学相关知识抱有浓厚兴趣，高考志愿填报时毅然选择学前教育专业，具备强烈的专业认同感与学习内驱力。​</w:t>
      </w:r>
    </w:p>
    <w:p w14:paraId="15844DAC">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（二）不足与短板​</w:t>
      </w:r>
    </w:p>
    <w:p w14:paraId="35FC1067">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首先，我的实践经验严重匮乏，从未有过正规幼儿园实习或支教的经历，对于幼儿一日活动的组织、课堂教学的设计与实施等实操环节几乎一无所知。其次，专业理论知识储备不足，仅停留在高中阶段对教育学科的浅显认知，对于学前教育学、幼儿发展心理学等核心课程的专业内容尚未深入学习。此外，我的应急处理能力有待提升，面对幼儿突发的安全问题或冲突事件，缺乏有效的应对思路与方法。​</w:t>
      </w:r>
    </w:p>
    <w:p w14:paraId="105AAA4B">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二、环境分析​</w:t>
      </w:r>
    </w:p>
    <w:p w14:paraId="4583D3D4">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（一）政策环境​</w:t>
      </w:r>
    </w:p>
    <w:p w14:paraId="6C48D802">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近年来，国家高度重视学前教育事业发展，相继出台政策文件，明确提出要扩大普惠性学前教育资源、提升学前教育保教质量、加强学前教育师资队伍建设。政策的扶持为学前教育行业的发展提供了广阔的空间，也为专业人才的就业与发展创造了良好的政策红利。​</w:t>
      </w:r>
    </w:p>
    <w:p w14:paraId="633F5FA9">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（二）行业市场环境​</w:t>
      </w:r>
    </w:p>
    <w:p w14:paraId="37A629C4">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随着我国三孩政策的落地以及家长对幼儿早期教育重视程度的不断提升，学前教育市场需求持续扩大。一方面，公立幼儿园的数量稳步增长，对专业学前教育人才的招聘规模逐年增加；另一方面，高端民办幼儿园、早教机构、托育中心等也如雨后春笋般涌现，对具备综合素养的学前教育人才需求旺盛。但与此同时，行业也对从业者提出了更高要求，不仅需要扎实的专业理论，还需具备游戏设计、特殊儿童教育、家园共育等多方面能力。​</w:t>
      </w:r>
    </w:p>
    <w:p w14:paraId="19C38601">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（三）竞争环境​</w:t>
      </w:r>
    </w:p>
    <w:p w14:paraId="61D152AD">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学前教育专业的毕业生数量逐年增多，就业竞争压力也随之增大。除了本专业毕业生外，部分教育学其他方向、艺术教育等专业的毕业生也会参与到学前教育岗位的竞争中。不过，具备复合型能力如双语教学、艺术特长、科研能力的学前教育人才在竞争中仍具备明显优势，能够在众多求职者中脱颖而出。​</w:t>
      </w:r>
    </w:p>
    <w:p w14:paraId="7F7DEEFE">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三、职业目标设定​</w:t>
      </w:r>
    </w:p>
    <w:p w14:paraId="1B57EF4B">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结合自身特质与行业环境，我将职业目标分为短期、中期和长期三个阶段，形成循序渐进的发展路径。​</w:t>
      </w:r>
    </w:p>
    <w:p w14:paraId="624779A4">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（一）短期目标（大学本科阶段）​</w:t>
      </w:r>
    </w:p>
    <w:p w14:paraId="1C67467D">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在大学四年内，完成专业课程的系统学习，确保专业成绩稳居年级前 30%，顺利取得学前教育教师资格证、普通话二甲证书、钢琴四级证书及绘画相关等级证书。同时，积极参与校内实训与校外见习，累计完成不少于 6 个月的幼儿园实习，掌握幼儿一日活动组织、常规教学、安全看护等基础技能，成为一名具备扎实理论基础与初步实践能力的学前教育专业毕业生。​</w:t>
      </w:r>
    </w:p>
    <w:p w14:paraId="3576E39A">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（二）中期目标（毕业后 3-5 年）​</w:t>
      </w:r>
    </w:p>
    <w:p w14:paraId="05EBC079">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毕业后进入一线城市优质公立幼儿园担任幼儿教师，入职 1 年内熟悉所在幼儿园的教学体系与管理模式，能够独立承担一个班级的教学与管理工作；入职 3 年内，成为幼儿园的骨干教师，能够设计并实施优质特色课程，在区域内的学前教育教学评比中获得奖项；入职 5 年内，具备家园共育的专业能力，能够有效协调家长关系，同时参与幼儿园的教研项目，形成初步的教育教学研究能力。​</w:t>
      </w:r>
    </w:p>
    <w:p w14:paraId="636D70FD">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（三）长期目标（毕业后 5-10 年及更长期）​</w:t>
      </w:r>
    </w:p>
    <w:p w14:paraId="517E94DB">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长期来看，我希望成长为一名学前教育领域的复合型人才，一方面深耕教学一线，成为幼儿园的教学园长，负责幼儿园的课程研发与师资培训；另一方面，参与学前教育行业的课题研究与政策建言，将一线教学经验转化为理论成果，为区域学前教育质量的提升贡献力量，最终成为兼具实践能力与科研素养的学前教育专家。​</w:t>
      </w:r>
    </w:p>
    <w:p w14:paraId="27324E82">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四、行动计划与策略​</w:t>
      </w:r>
    </w:p>
    <w:p w14:paraId="4E4E3E54">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为实现上述职业目标，我制定了针对性的行动计划与保障策略。​</w:t>
      </w:r>
    </w:p>
    <w:p w14:paraId="0B0DFDB5">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（一）学业提升策略​</w:t>
      </w:r>
    </w:p>
    <w:p w14:paraId="3B761561">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在专业课程学习上，制定详细的学习计划，重点攻克《幼儿发展心理学》《学前教育学》《幼儿园课程论》等核心课程，主动参与课程研讨与学术讲座，拓展专业视野。利用课余时间选修《特殊儿童教育》《幼儿游戏设计》《双语幼儿教学》等拓展课程，弥补知识短板，提升综合素养。同时，加入专业学术社团，参与校级、省级学前教育专业竞赛，以赛促学，强化知识应用能力。​</w:t>
      </w:r>
    </w:p>
    <w:p w14:paraId="0A13E30E">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（二）实践能力培养策略​</w:t>
      </w:r>
    </w:p>
    <w:p w14:paraId="66EF9421">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大一暑假参与社区幼儿托管志愿服务，积累与幼儿相处的基础经验；大二起，每学期安排 1-2 个月的幼儿园见习，跟随资深教师学习教学方法与班级管理技巧；大三、大四分别进行为期 3 个月的集中实习，先后在公立与民办幼儿园轮岗，熟悉不同办学模式下的教学特点。此外，主动向实习单位的指导教师请教，建立实践学习档案，记录每日工作心得与问题解决方案，不断复盘提升。​</w:t>
      </w:r>
    </w:p>
    <w:p w14:paraId="5FF5878B">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（三）证书与技能提升策略​</w:t>
      </w:r>
    </w:p>
    <w:p w14:paraId="25F7E0ED">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大二下学期考取普通话二甲证书，大三上学期通过教师资格证笔试与面试，大三至大四期间完成钢琴、绘画等艺术技能等级考试。利用线上学习平台，学习幼儿急救、家园沟通技巧等实用课程，考取幼儿急救资格证书，增强岗位竞争力。​</w:t>
      </w:r>
    </w:p>
    <w:p w14:paraId="18B99D87">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（四）职业发展保障策略​</w:t>
      </w:r>
    </w:p>
    <w:p w14:paraId="1801C091">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毕业后主动加入学前教育行业协会，定期参与行业培训与交流活动，保持对行业前沿动态的敏感度。建立职业发展人脉网络，与高校导师、幼儿园资深教师保持联系，获取专业指导与职业机会。同时，坚持终身学习理念，工作后在职攻读学前教育专业硕士学位，提升学历层次与科研能力，为长期职业目标的实现筑牢根基。​</w:t>
      </w:r>
    </w:p>
    <w:p w14:paraId="6E44FA43">
      <w:pPr>
        <w:bidi w:val="0"/>
        <w:spacing w:line="360" w:lineRule="auto"/>
        <w:rPr>
          <w:rFonts w:hint="eastAsia" w:ascii="黑体" w:hAnsi="黑体" w:eastAsia="黑体" w:cs="黑体"/>
          <w:sz w:val="24"/>
          <w:szCs w:val="24"/>
        </w:rPr>
      </w:pPr>
      <w:r>
        <w:rPr>
          <w:rFonts w:hint="eastAsia" w:ascii="黑体" w:hAnsi="黑体" w:eastAsia="黑体" w:cs="黑体"/>
          <w:sz w:val="24"/>
          <w:szCs w:val="24"/>
          <w:lang w:val="en-US" w:eastAsia="zh-CN"/>
        </w:rPr>
        <w:t>学前教育是一份充满爱与责任的事业，其发展之路道阻且长，但行则将至。通过清晰的自我认知、精准的环境研判、明确的目标设定与科学的行动规划，我将以饱满的热情与坚定的毅力投身于学前教育领域，在守护幼儿成长的过程中实现自身的职业价值与人生理想。​</w:t>
      </w:r>
    </w:p>
    <w:p w14:paraId="62EAC02B">
      <w:pPr>
        <w:bidi w:val="0"/>
        <w:rPr>
          <w:rFonts w:hint="eastAsia" w:ascii="黑体" w:hAnsi="黑体" w:eastAsia="黑体" w:cs="黑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53725B"/>
    <w:rsid w:val="1F537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2025-12-10T07:36:00Z</dcterms:created>
  <dc:creator>Daring</dc:creator>
  <cp:lastModifiedBy>Daring</cp:lastModifiedBy>
  <dcterms:modified xsi:type="dcterms:W3CDTF">2025-12-10T08:22:56Z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711B9E8DC11B4C7AA69F46B4D3B1A6C1_11</vt:lpwstr>
  </property>
  <property fmtid="{D5CDD505-2E9C-101B-9397-08002B2CF9AE}" pid="4" name="KSOTemplateDocerSaveRecord">
    <vt:lpwstr>eyJoZGlkIjoiZTNhYjdkZjI1OWQ2YjViMWNkNmM4MjUzMDE0MWM4NjAiLCJ1c2VySWQiOiI2MDk5NTA3MDAifQ==</vt:lpwstr>
  </property>
</Properties>
</file>