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C3633">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3079"/>
        <w:gridCol w:w="1410"/>
        <w:gridCol w:w="2479"/>
      </w:tblGrid>
      <w:tr w14:paraId="47A5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54" w:type="dxa"/>
            <w:vAlign w:val="top"/>
          </w:tcPr>
          <w:p w14:paraId="62D8435E">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6968" w:type="dxa"/>
            <w:gridSpan w:val="3"/>
            <w:vAlign w:val="center"/>
          </w:tcPr>
          <w:p w14:paraId="21E0AB47">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 xml:space="preserve"> “开学第一课”主题班会</w:t>
            </w:r>
          </w:p>
        </w:tc>
      </w:tr>
      <w:tr w14:paraId="305A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54" w:type="dxa"/>
            <w:vAlign w:val="top"/>
          </w:tcPr>
          <w:p w14:paraId="7C7FEBAC">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3079" w:type="dxa"/>
            <w:vAlign w:val="center"/>
          </w:tcPr>
          <w:p w14:paraId="544122F8">
            <w:pPr>
              <w:jc w:val="center"/>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张秋琴</w:t>
            </w:r>
          </w:p>
        </w:tc>
        <w:tc>
          <w:tcPr>
            <w:tcW w:w="1410" w:type="dxa"/>
            <w:vAlign w:val="center"/>
          </w:tcPr>
          <w:p w14:paraId="3E9C9004">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479" w:type="dxa"/>
            <w:vAlign w:val="center"/>
          </w:tcPr>
          <w:p w14:paraId="4AD35513">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主题班会</w:t>
            </w:r>
          </w:p>
        </w:tc>
      </w:tr>
      <w:tr w14:paraId="7ABF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554" w:type="dxa"/>
            <w:vAlign w:val="top"/>
          </w:tcPr>
          <w:p w14:paraId="14358341">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3079" w:type="dxa"/>
            <w:vAlign w:val="center"/>
          </w:tcPr>
          <w:p w14:paraId="153C43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设备2501、2502、2503</w:t>
            </w:r>
          </w:p>
        </w:tc>
        <w:tc>
          <w:tcPr>
            <w:tcW w:w="1410" w:type="dxa"/>
            <w:vAlign w:val="center"/>
          </w:tcPr>
          <w:p w14:paraId="49CEAFB9">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参加人数</w:t>
            </w:r>
          </w:p>
        </w:tc>
        <w:tc>
          <w:tcPr>
            <w:tcW w:w="2479" w:type="dxa"/>
            <w:vAlign w:val="center"/>
          </w:tcPr>
          <w:p w14:paraId="679FFE8D">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175</w:t>
            </w:r>
          </w:p>
        </w:tc>
      </w:tr>
      <w:tr w14:paraId="663A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top"/>
          </w:tcPr>
          <w:p w14:paraId="36E447CC">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3079" w:type="dxa"/>
            <w:vAlign w:val="center"/>
          </w:tcPr>
          <w:p w14:paraId="404A3973">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2025年9月</w:t>
            </w:r>
          </w:p>
        </w:tc>
        <w:tc>
          <w:tcPr>
            <w:tcW w:w="1410" w:type="dxa"/>
            <w:vAlign w:val="center"/>
          </w:tcPr>
          <w:p w14:paraId="450D9E10">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479" w:type="dxa"/>
            <w:vAlign w:val="center"/>
          </w:tcPr>
          <w:p w14:paraId="103F7E33">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1教201、202、203</w:t>
            </w:r>
          </w:p>
        </w:tc>
      </w:tr>
      <w:tr w14:paraId="663E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554" w:type="dxa"/>
            <w:vAlign w:val="top"/>
          </w:tcPr>
          <w:p w14:paraId="48D40001">
            <w:pPr>
              <w:jc w:val="both"/>
              <w:rPr>
                <w:rFonts w:hint="eastAsia" w:ascii="华文楷体" w:hAnsi="华文楷体" w:eastAsia="华文楷体" w:cs="华文楷体"/>
                <w:b/>
                <w:bCs/>
                <w:sz w:val="28"/>
                <w:szCs w:val="36"/>
                <w:vertAlign w:val="baseline"/>
                <w:lang w:val="en-US" w:eastAsia="zh-CN"/>
              </w:rPr>
            </w:pPr>
          </w:p>
          <w:p w14:paraId="198A92BB">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14:paraId="3546577B">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6968" w:type="dxa"/>
            <w:gridSpan w:val="3"/>
            <w:vAlign w:val="top"/>
          </w:tcPr>
          <w:p w14:paraId="09FC5AD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为深入贯彻习近平总书记关于教育的重要论述，全面落实立德树人根本任务，结合中国人民抗日战争暨世界反法西斯战争胜利 80 周年纪念活动，扎实做好2025 年秋季学期开学学生工作，开展2025年秋季学期“开学第一课”主题班会：</w:t>
            </w:r>
          </w:p>
          <w:p w14:paraId="7EA68F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left"/>
              <w:rPr>
                <w:rFonts w:ascii="微软雅黑" w:hAnsi="微软雅黑" w:eastAsia="微软雅黑" w:cs="微软雅黑"/>
                <w:i w:val="0"/>
                <w:iCs w:val="0"/>
                <w:caps w:val="0"/>
                <w:color w:val="515151"/>
                <w:spacing w:val="0"/>
                <w:sz w:val="22"/>
                <w:szCs w:val="22"/>
              </w:rPr>
            </w:pPr>
            <w:r>
              <w:rPr>
                <w:rFonts w:ascii="仿宋_GB2312" w:hAnsi="微软雅黑" w:eastAsia="仿宋_GB2312" w:cs="仿宋_GB2312"/>
                <w:i w:val="0"/>
                <w:iCs w:val="0"/>
                <w:caps w:val="0"/>
                <w:color w:val="515151"/>
                <w:spacing w:val="0"/>
                <w:sz w:val="31"/>
                <w:szCs w:val="31"/>
                <w:bdr w:val="none" w:color="auto" w:sz="0" w:space="0"/>
              </w:rPr>
              <w:t>（一）</w:t>
            </w:r>
            <w:r>
              <w:rPr>
                <w:rFonts w:hint="default" w:ascii="仿宋_GB2312" w:hAnsi="微软雅黑" w:eastAsia="仿宋_GB2312" w:cs="仿宋_GB2312"/>
                <w:i w:val="0"/>
                <w:iCs w:val="0"/>
                <w:caps w:val="0"/>
                <w:color w:val="515151"/>
                <w:spacing w:val="0"/>
                <w:sz w:val="31"/>
                <w:szCs w:val="31"/>
                <w:bdr w:val="none" w:color="auto" w:sz="0" w:space="0"/>
              </w:rPr>
              <w:t>组织学生深入学习习近平总书记在中国人民抗日战争暨世界反法西斯战争胜利 80 周年纪念活动上的重要讲话精神点，将历史记忆、爱国精神与价值引导融入班会。</w:t>
            </w:r>
          </w:p>
          <w:p w14:paraId="0A6C9F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right="0"/>
              <w:jc w:val="left"/>
              <w:rPr>
                <w:rFonts w:hint="eastAsia" w:ascii="微软雅黑" w:hAnsi="微软雅黑" w:eastAsia="微软雅黑" w:cs="微软雅黑"/>
                <w:i w:val="0"/>
                <w:iCs w:val="0"/>
                <w:caps w:val="0"/>
                <w:color w:val="515151"/>
                <w:spacing w:val="0"/>
                <w:sz w:val="22"/>
                <w:szCs w:val="22"/>
              </w:rPr>
            </w:pPr>
            <w:r>
              <w:rPr>
                <w:rFonts w:hint="default" w:ascii="仿宋_GB2312" w:hAnsi="微软雅黑" w:eastAsia="仿宋_GB2312" w:cs="仿宋_GB2312"/>
                <w:i w:val="0"/>
                <w:iCs w:val="0"/>
                <w:caps w:val="0"/>
                <w:color w:val="515151"/>
                <w:spacing w:val="0"/>
                <w:sz w:val="31"/>
                <w:szCs w:val="31"/>
                <w:bdr w:val="none" w:color="auto" w:sz="0" w:space="0"/>
              </w:rPr>
              <w:t>（二）同步聚焦开学季安全防护重点，向学生宣传普及人身安全、财产安全、网络安全、消防安全、交通安全、食品安全知识，明确各类安全风险的预防要点与应对方法；</w:t>
            </w:r>
          </w:p>
          <w:p w14:paraId="496B04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right="0"/>
              <w:jc w:val="left"/>
              <w:rPr>
                <w:rFonts w:hint="eastAsia" w:ascii="微软雅黑" w:hAnsi="微软雅黑" w:eastAsia="微软雅黑" w:cs="微软雅黑"/>
                <w:i w:val="0"/>
                <w:iCs w:val="0"/>
                <w:caps w:val="0"/>
                <w:color w:val="515151"/>
                <w:spacing w:val="0"/>
                <w:sz w:val="22"/>
                <w:szCs w:val="22"/>
              </w:rPr>
            </w:pPr>
            <w:r>
              <w:rPr>
                <w:rFonts w:hint="default" w:ascii="仿宋_GB2312" w:hAnsi="微软雅黑" w:eastAsia="仿宋_GB2312" w:cs="仿宋_GB2312"/>
                <w:i w:val="0"/>
                <w:iCs w:val="0"/>
                <w:caps w:val="0"/>
                <w:color w:val="515151"/>
                <w:spacing w:val="0"/>
                <w:sz w:val="31"/>
                <w:szCs w:val="31"/>
                <w:bdr w:val="none" w:color="auto" w:sz="0" w:space="0"/>
              </w:rPr>
              <w:t>（三）重视网络舆论安全，科普互联网违法和不良信息类型、谣言信息类别、举报途径等，“以案说法”讲解谣言典型案例、编造传播谣言需承担的法律责任等，提高学生识谣辨谣防谣能力，自觉抵制网络谣言。</w:t>
            </w:r>
          </w:p>
          <w:p w14:paraId="187FD7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right="0"/>
              <w:jc w:val="left"/>
              <w:rPr>
                <w:rFonts w:hint="eastAsia" w:ascii="微软雅黑" w:hAnsi="微软雅黑" w:eastAsia="微软雅黑" w:cs="微软雅黑"/>
                <w:i w:val="0"/>
                <w:iCs w:val="0"/>
                <w:caps w:val="0"/>
                <w:color w:val="515151"/>
                <w:spacing w:val="0"/>
                <w:sz w:val="22"/>
                <w:szCs w:val="22"/>
              </w:rPr>
            </w:pPr>
            <w:r>
              <w:rPr>
                <w:rFonts w:hint="default" w:ascii="仿宋_GB2312" w:hAnsi="微软雅黑" w:eastAsia="仿宋_GB2312" w:cs="仿宋_GB2312"/>
                <w:i w:val="0"/>
                <w:iCs w:val="0"/>
                <w:caps w:val="0"/>
                <w:color w:val="515151"/>
                <w:spacing w:val="0"/>
                <w:sz w:val="31"/>
                <w:szCs w:val="31"/>
                <w:bdr w:val="none" w:color="auto" w:sz="0" w:space="0"/>
              </w:rPr>
              <w:t>（四）多种渠道了解学生思想动态、学习生活状况和心理现状，切实解决学生的实际需求和困难，妥善化解矛盾。</w:t>
            </w:r>
          </w:p>
          <w:p w14:paraId="5E53996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华文楷体" w:hAnsi="华文楷体" w:eastAsia="华文楷体" w:cs="华文楷体"/>
                <w:b w:val="0"/>
                <w:bCs w:val="0"/>
                <w:sz w:val="28"/>
                <w:szCs w:val="36"/>
                <w:vertAlign w:val="baseline"/>
                <w:lang w:val="en-US" w:eastAsia="zh-CN"/>
              </w:rPr>
            </w:pPr>
          </w:p>
        </w:tc>
      </w:tr>
      <w:tr w14:paraId="6CE2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1554" w:type="dxa"/>
            <w:vAlign w:val="top"/>
          </w:tcPr>
          <w:p w14:paraId="4A8AD7F1">
            <w:pPr>
              <w:jc w:val="center"/>
              <w:rPr>
                <w:rFonts w:hint="eastAsia" w:ascii="华文楷体" w:hAnsi="华文楷体" w:eastAsia="华文楷体" w:cs="华文楷体"/>
                <w:b/>
                <w:bCs/>
                <w:sz w:val="28"/>
                <w:szCs w:val="36"/>
                <w:vertAlign w:val="baseline"/>
                <w:lang w:val="en-US" w:eastAsia="zh-CN"/>
              </w:rPr>
            </w:pPr>
          </w:p>
          <w:p w14:paraId="18F6AFDB">
            <w:pPr>
              <w:ind w:firstLine="281"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w:t>
            </w:r>
          </w:p>
          <w:p w14:paraId="36C7656B">
            <w:pPr>
              <w:ind w:firstLine="281"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动</w:t>
            </w:r>
          </w:p>
          <w:p w14:paraId="47ED38E0">
            <w:pPr>
              <w:ind w:firstLine="281"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w:t>
            </w:r>
          </w:p>
          <w:p w14:paraId="66EBE896">
            <w:pPr>
              <w:ind w:firstLine="281"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片</w:t>
            </w:r>
          </w:p>
        </w:tc>
        <w:tc>
          <w:tcPr>
            <w:tcW w:w="6968" w:type="dxa"/>
            <w:gridSpan w:val="3"/>
            <w:vAlign w:val="top"/>
          </w:tcPr>
          <w:p w14:paraId="5BAAB08C">
            <w:pPr>
              <w:jc w:val="both"/>
              <w:rPr>
                <w:rFonts w:hint="eastAsia" w:ascii="华文楷体" w:hAnsi="华文楷体" w:eastAsia="华文楷体" w:cs="华文楷体"/>
                <w:b/>
                <w:bCs/>
                <w:sz w:val="28"/>
                <w:szCs w:val="36"/>
                <w:vertAlign w:val="baseline"/>
                <w:lang w:val="en-US" w:eastAsia="zh-CN"/>
              </w:rPr>
            </w:pPr>
          </w:p>
          <w:p w14:paraId="12199A64">
            <w:pPr>
              <w:jc w:val="both"/>
              <w:rPr>
                <w:rFonts w:hint="eastAsia" w:ascii="华文楷体" w:hAnsi="华文楷体" w:eastAsia="华文楷体" w:cs="华文楷体"/>
                <w:b/>
                <w:bCs/>
                <w:sz w:val="28"/>
                <w:szCs w:val="36"/>
                <w:vertAlign w:val="baseline"/>
                <w:lang w:val="en-US" w:eastAsia="zh-CN"/>
              </w:rPr>
            </w:pPr>
            <w:r>
              <w:rPr>
                <w:rFonts w:ascii="宋体" w:hAnsi="宋体" w:eastAsia="宋体" w:cs="宋体"/>
                <w:sz w:val="24"/>
                <w:szCs w:val="24"/>
              </w:rPr>
              <w:drawing>
                <wp:inline distT="0" distB="0" distL="114300" distR="114300">
                  <wp:extent cx="3930015" cy="2947670"/>
                  <wp:effectExtent l="0" t="0" r="13335" b="5080"/>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4"/>
                          <a:stretch>
                            <a:fillRect/>
                          </a:stretch>
                        </pic:blipFill>
                        <pic:spPr>
                          <a:xfrm>
                            <a:off x="0" y="0"/>
                            <a:ext cx="3930015" cy="2947670"/>
                          </a:xfrm>
                          <a:prstGeom prst="rect">
                            <a:avLst/>
                          </a:prstGeom>
                          <a:noFill/>
                          <a:ln w="9525">
                            <a:noFill/>
                          </a:ln>
                        </pic:spPr>
                      </pic:pic>
                    </a:graphicData>
                  </a:graphic>
                </wp:inline>
              </w:drawing>
            </w:r>
          </w:p>
          <w:p w14:paraId="1EBAA6DB">
            <w:pPr>
              <w:jc w:val="both"/>
            </w:pPr>
          </w:p>
          <w:p w14:paraId="020ECF26">
            <w:pPr>
              <w:jc w:val="both"/>
            </w:pPr>
          </w:p>
          <w:p w14:paraId="2A4F3D69">
            <w:pPr>
              <w:jc w:val="both"/>
            </w:pPr>
            <w:r>
              <w:rPr>
                <w:rFonts w:ascii="宋体" w:hAnsi="宋体" w:eastAsia="宋体" w:cs="宋体"/>
                <w:sz w:val="24"/>
                <w:szCs w:val="24"/>
              </w:rPr>
              <w:drawing>
                <wp:inline distT="0" distB="0" distL="114300" distR="114300">
                  <wp:extent cx="3943350" cy="2700020"/>
                  <wp:effectExtent l="0" t="0" r="0" b="5080"/>
                  <wp:docPr id="1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6"/>
                          <pic:cNvPicPr>
                            <a:picLocks noChangeAspect="1"/>
                          </pic:cNvPicPr>
                        </pic:nvPicPr>
                        <pic:blipFill>
                          <a:blip r:embed="rId5"/>
                          <a:stretch>
                            <a:fillRect/>
                          </a:stretch>
                        </pic:blipFill>
                        <pic:spPr>
                          <a:xfrm>
                            <a:off x="0" y="0"/>
                            <a:ext cx="3943350" cy="2700020"/>
                          </a:xfrm>
                          <a:prstGeom prst="rect">
                            <a:avLst/>
                          </a:prstGeom>
                          <a:noFill/>
                          <a:ln w="9525">
                            <a:noFill/>
                          </a:ln>
                        </pic:spPr>
                      </pic:pic>
                    </a:graphicData>
                  </a:graphic>
                </wp:inline>
              </w:drawing>
            </w:r>
          </w:p>
          <w:p w14:paraId="2EDCC5C8">
            <w:pPr>
              <w:jc w:val="both"/>
            </w:pPr>
          </w:p>
          <w:p w14:paraId="2711B7F7">
            <w:pPr>
              <w:jc w:val="both"/>
            </w:pPr>
          </w:p>
          <w:p w14:paraId="3CDAAE2A">
            <w:pPr>
              <w:jc w:val="both"/>
            </w:pPr>
          </w:p>
          <w:p w14:paraId="2254FD2B">
            <w:pPr>
              <w:jc w:val="both"/>
              <w:rPr>
                <w:rFonts w:hint="eastAsia"/>
                <w:lang w:val="en-US" w:eastAsia="zh-CN"/>
              </w:rPr>
            </w:pPr>
            <w:r>
              <w:rPr>
                <w:rFonts w:ascii="宋体" w:hAnsi="宋体" w:eastAsia="宋体" w:cs="宋体"/>
                <w:sz w:val="24"/>
                <w:szCs w:val="24"/>
              </w:rPr>
              <w:drawing>
                <wp:inline distT="0" distB="0" distL="114300" distR="114300">
                  <wp:extent cx="3973195" cy="2700020"/>
                  <wp:effectExtent l="0" t="0" r="8255" b="5080"/>
                  <wp:docPr id="1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6"/>
                          <pic:cNvPicPr>
                            <a:picLocks noChangeAspect="1"/>
                          </pic:cNvPicPr>
                        </pic:nvPicPr>
                        <pic:blipFill>
                          <a:blip r:embed="rId6"/>
                          <a:stretch>
                            <a:fillRect/>
                          </a:stretch>
                        </pic:blipFill>
                        <pic:spPr>
                          <a:xfrm>
                            <a:off x="0" y="0"/>
                            <a:ext cx="3973195" cy="2700020"/>
                          </a:xfrm>
                          <a:prstGeom prst="rect">
                            <a:avLst/>
                          </a:prstGeom>
                          <a:noFill/>
                          <a:ln w="9525">
                            <a:noFill/>
                          </a:ln>
                        </pic:spPr>
                      </pic:pic>
                    </a:graphicData>
                  </a:graphic>
                </wp:inline>
              </w:drawing>
            </w:r>
          </w:p>
        </w:tc>
      </w:tr>
      <w:tr w14:paraId="6F8D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1554" w:type="dxa"/>
            <w:vAlign w:val="top"/>
          </w:tcPr>
          <w:p w14:paraId="695350E6">
            <w:pPr>
              <w:jc w:val="center"/>
              <w:rPr>
                <w:rFonts w:hint="eastAsia" w:ascii="华文楷体" w:hAnsi="华文楷体" w:eastAsia="华文楷体" w:cs="华文楷体"/>
                <w:b/>
                <w:bCs/>
                <w:sz w:val="28"/>
                <w:szCs w:val="36"/>
                <w:vertAlign w:val="baseline"/>
                <w:lang w:val="en-US" w:eastAsia="zh-CN"/>
              </w:rPr>
            </w:pPr>
          </w:p>
        </w:tc>
        <w:tc>
          <w:tcPr>
            <w:tcW w:w="6968" w:type="dxa"/>
            <w:gridSpan w:val="3"/>
            <w:vAlign w:val="top"/>
          </w:tcPr>
          <w:p w14:paraId="09A7CC52">
            <w:pPr>
              <w:jc w:val="both"/>
            </w:pPr>
          </w:p>
          <w:p w14:paraId="0BECB463">
            <w:pPr>
              <w:jc w:val="both"/>
            </w:pPr>
          </w:p>
          <w:p w14:paraId="45C9A244">
            <w:pPr>
              <w:jc w:val="both"/>
            </w:pPr>
          </w:p>
          <w:p w14:paraId="07679698">
            <w:pPr>
              <w:jc w:val="both"/>
            </w:pPr>
            <w:r>
              <w:rPr>
                <w:rFonts w:ascii="宋体" w:hAnsi="宋体" w:eastAsia="宋体" w:cs="宋体"/>
                <w:sz w:val="24"/>
                <w:szCs w:val="24"/>
              </w:rPr>
              <w:drawing>
                <wp:inline distT="0" distB="0" distL="114300" distR="114300">
                  <wp:extent cx="3959225" cy="2700020"/>
                  <wp:effectExtent l="0" t="0" r="3175" b="5080"/>
                  <wp:docPr id="1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IMG_256"/>
                          <pic:cNvPicPr>
                            <a:picLocks noChangeAspect="1"/>
                          </pic:cNvPicPr>
                        </pic:nvPicPr>
                        <pic:blipFill>
                          <a:blip r:embed="rId7"/>
                          <a:stretch>
                            <a:fillRect/>
                          </a:stretch>
                        </pic:blipFill>
                        <pic:spPr>
                          <a:xfrm>
                            <a:off x="0" y="0"/>
                            <a:ext cx="3959225" cy="2700020"/>
                          </a:xfrm>
                          <a:prstGeom prst="rect">
                            <a:avLst/>
                          </a:prstGeom>
                          <a:noFill/>
                          <a:ln w="9525">
                            <a:noFill/>
                          </a:ln>
                        </pic:spPr>
                      </pic:pic>
                    </a:graphicData>
                  </a:graphic>
                </wp:inline>
              </w:drawing>
            </w:r>
          </w:p>
          <w:p w14:paraId="6071C9F0">
            <w:pPr>
              <w:jc w:val="both"/>
            </w:pPr>
          </w:p>
        </w:tc>
      </w:tr>
      <w:tr w14:paraId="48AE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1554" w:type="dxa"/>
            <w:vAlign w:val="top"/>
          </w:tcPr>
          <w:p w14:paraId="683C509C">
            <w:pPr>
              <w:jc w:val="center"/>
              <w:rPr>
                <w:rFonts w:hint="eastAsia" w:ascii="华文楷体" w:hAnsi="华文楷体" w:eastAsia="华文楷体" w:cs="华文楷体"/>
                <w:b/>
                <w:bCs/>
                <w:sz w:val="28"/>
                <w:szCs w:val="36"/>
                <w:vertAlign w:val="baseline"/>
                <w:lang w:val="en-US" w:eastAsia="zh-CN"/>
              </w:rPr>
            </w:pPr>
          </w:p>
        </w:tc>
        <w:tc>
          <w:tcPr>
            <w:tcW w:w="6968" w:type="dxa"/>
            <w:gridSpan w:val="3"/>
            <w:vAlign w:val="top"/>
          </w:tcPr>
          <w:p w14:paraId="0400501C">
            <w:pPr>
              <w:jc w:val="both"/>
            </w:pPr>
          </w:p>
          <w:p w14:paraId="7385D874">
            <w:pPr>
              <w:jc w:val="both"/>
            </w:pPr>
          </w:p>
          <w:p w14:paraId="7EFE4B51">
            <w:pPr>
              <w:jc w:val="both"/>
            </w:pPr>
          </w:p>
          <w:p w14:paraId="2B58DEAB">
            <w:pPr>
              <w:jc w:val="both"/>
            </w:pPr>
          </w:p>
          <w:p w14:paraId="16B7A50A">
            <w:pPr>
              <w:jc w:val="both"/>
            </w:pPr>
            <w:bookmarkStart w:id="0" w:name="_GoBack"/>
            <w:bookmarkEnd w:id="0"/>
          </w:p>
        </w:tc>
      </w:tr>
    </w:tbl>
    <w:p w14:paraId="5A70F2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10022FF" w:usb1="C000E47F" w:usb2="00000029" w:usb3="00000000" w:csb0="200001DF" w:csb1="2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ZGRlYThmZWU4NDhjZDc2ZWQxMTFjNDgxYmZjOTcifQ=="/>
  </w:docVars>
  <w:rsids>
    <w:rsidRoot w:val="1E003258"/>
    <w:rsid w:val="015E3387"/>
    <w:rsid w:val="067110AC"/>
    <w:rsid w:val="10CF451A"/>
    <w:rsid w:val="1ADA64DC"/>
    <w:rsid w:val="1CAD7FE3"/>
    <w:rsid w:val="1E003258"/>
    <w:rsid w:val="213109F9"/>
    <w:rsid w:val="2725262A"/>
    <w:rsid w:val="28D77087"/>
    <w:rsid w:val="3058119F"/>
    <w:rsid w:val="3FDE70E9"/>
    <w:rsid w:val="41966C37"/>
    <w:rsid w:val="42883A60"/>
    <w:rsid w:val="4CAF4694"/>
    <w:rsid w:val="4DF15B76"/>
    <w:rsid w:val="50A26F82"/>
    <w:rsid w:val="5E4751D3"/>
    <w:rsid w:val="612D0114"/>
    <w:rsid w:val="6699316B"/>
    <w:rsid w:val="74CD5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4">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1051</Words>
  <Characters>1095</Characters>
  <Lines>0</Lines>
  <Paragraphs>0</Paragraphs>
  <TotalTime>13</TotalTime>
  <ScaleCrop>false</ScaleCrop>
  <LinksUpToDate>false</LinksUpToDate>
  <CharactersWithSpaces>1104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2022-04-04T01:11:00Z</dcterms:created>
  <dc:creator>DELL</dc:creator>
  <cp:lastModifiedBy>秋琴</cp:lastModifiedBy>
  <dcterms:modified xsi:type="dcterms:W3CDTF">2025-09-18T03:51:13Z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72227549B96C473D96893F448B2D4784_13</vt:lpwstr>
  </property>
  <property fmtid="{D5CDD505-2E9C-101B-9397-08002B2CF9AE}" pid="4" name="KSOTemplateDocerSaveRecord">
    <vt:lpwstr>eyJoZGlkIjoiZWY0ZDA2NDY3ZDgwN2EzMThlYjhlNmQxYTRkYWYwMzEiLCJ1c2VySWQiOiIzMjE0OTc5NTgifQ==</vt:lpwstr>
  </property>
</Properties>
</file>