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360" w:lineRule="auto"/>
        <w:ind w:firstLine="640" w:firstLineChars="200"/>
        <w:jc w:val="both"/>
        <w:rPr>
          <w:rFonts w:hint="eastAsia" w:ascii="微软雅黑" w:hAnsi="微软雅黑" w:eastAsia="微软雅黑" w:cs="微软雅黑"/>
          <w:sz w:val="32"/>
          <w:szCs w:val="32"/>
          <w:lang w:val="en-US"/>
        </w:rPr>
      </w:pPr>
      <w:r>
        <w:rPr>
          <w:rFonts w:hint="eastAsia" w:ascii="微软雅黑" w:hAnsi="微软雅黑" w:eastAsia="微软雅黑" w:cs="微软雅黑"/>
          <w:sz w:val="32"/>
          <w:szCs w:val="32"/>
          <w:lang w:val="en-US" w:eastAsia="zh-Hans"/>
        </w:rPr>
        <w:t>论</w:t>
      </w:r>
      <w:r>
        <w:rPr>
          <w:rFonts w:hint="eastAsia" w:ascii="微软雅黑" w:hAnsi="微软雅黑" w:eastAsia="微软雅黑" w:cs="微软雅黑"/>
          <w:sz w:val="32"/>
          <w:szCs w:val="32"/>
          <w:lang w:val="en-US"/>
        </w:rPr>
        <w:t>构建新时代思想政治工作大格局</w:t>
      </w:r>
      <w:r>
        <w:rPr>
          <w:rFonts w:hint="eastAsia" w:ascii="微软雅黑" w:hAnsi="微软雅黑" w:eastAsia="微软雅黑" w:cs="微软雅黑"/>
          <w:sz w:val="32"/>
          <w:szCs w:val="32"/>
          <w:lang w:val="en-US" w:eastAsia="zh-Hans"/>
        </w:rPr>
        <w:t>的四维向度</w:t>
      </w:r>
      <w:r>
        <w:rPr>
          <w:rStyle w:val="7"/>
          <w:rFonts w:cs="微软雅黑" w:asciiTheme="minorEastAsia" w:hAnsiTheme="minorEastAsia" w:eastAsiaTheme="minorEastAsia"/>
          <w:b/>
          <w:bCs/>
          <w:sz w:val="28"/>
          <w:szCs w:val="28"/>
        </w:rPr>
        <w:footnoteReference w:id="0" w:customMarkFollows="1"/>
        <w:t>*</w:t>
      </w:r>
    </w:p>
    <w:p>
      <w:pPr>
        <w:spacing w:before="156" w:beforeLines="50" w:after="156" w:afterLines="50" w:line="360" w:lineRule="auto"/>
        <w:ind w:firstLine="480" w:firstLineChars="200"/>
        <w:jc w:val="center"/>
        <w:rPr>
          <w:rFonts w:hint="eastAsia" w:cs="微软雅黑" w:asciiTheme="minorEastAsia" w:hAnsiTheme="minorEastAsia" w:eastAsiaTheme="minorEastAsia"/>
          <w:sz w:val="24"/>
        </w:rPr>
      </w:pPr>
      <w:r>
        <w:rPr>
          <w:rFonts w:hint="default" w:cs="微软雅黑" w:asciiTheme="minorEastAsia" w:hAnsiTheme="minorEastAsia" w:eastAsiaTheme="minorEastAsia"/>
          <w:sz w:val="24"/>
          <w:lang w:eastAsia="zh-Hans"/>
        </w:rPr>
        <w:t xml:space="preserve">   </w:t>
      </w:r>
      <w:r>
        <w:rPr>
          <w:rFonts w:hint="eastAsia" w:cs="微软雅黑" w:asciiTheme="minorEastAsia" w:hAnsiTheme="minorEastAsia" w:eastAsiaTheme="minorEastAsia"/>
          <w:sz w:val="24"/>
        </w:rPr>
        <w:t>高会燕</w:t>
      </w:r>
    </w:p>
    <w:p>
      <w:pPr>
        <w:spacing w:before="156" w:beforeLines="50" w:after="156" w:afterLines="50" w:line="360" w:lineRule="auto"/>
        <w:ind w:firstLine="480" w:firstLineChars="200"/>
        <w:jc w:val="center"/>
        <w:rPr>
          <w:rFonts w:hint="eastAsia" w:ascii="微软雅黑" w:hAnsi="微软雅黑" w:eastAsia="微软雅黑" w:cs="微软雅黑"/>
          <w:sz w:val="32"/>
          <w:szCs w:val="32"/>
          <w:lang w:val="en-US"/>
        </w:rPr>
      </w:pPr>
      <w:r>
        <w:rPr>
          <w:rFonts w:hint="default" w:cs="微软雅黑" w:asciiTheme="minorEastAsia" w:hAnsiTheme="minorEastAsia" w:eastAsiaTheme="minorEastAsia"/>
          <w:sz w:val="24"/>
        </w:rPr>
        <w:t>(</w:t>
      </w:r>
      <w:r>
        <w:rPr>
          <w:rFonts w:hint="eastAsia" w:cs="微软雅黑" w:asciiTheme="minorEastAsia" w:hAnsiTheme="minorEastAsia" w:eastAsiaTheme="minorEastAsia"/>
          <w:sz w:val="24"/>
        </w:rPr>
        <w:t>西北工业大学</w:t>
      </w:r>
      <w:r>
        <w:rPr>
          <w:rFonts w:hint="default" w:cs="微软雅黑" w:asciiTheme="minorEastAsia" w:hAnsiTheme="minorEastAsia" w:eastAsiaTheme="minorEastAsia"/>
          <w:sz w:val="24"/>
        </w:rPr>
        <w:t xml:space="preserve">  </w:t>
      </w:r>
      <w:r>
        <w:rPr>
          <w:rFonts w:hint="eastAsia" w:cs="微软雅黑" w:asciiTheme="minorEastAsia" w:hAnsiTheme="minorEastAsia" w:eastAsiaTheme="minorEastAsia"/>
          <w:sz w:val="24"/>
          <w:lang w:val="en-US" w:eastAsia="zh-Hans"/>
        </w:rPr>
        <w:t>马克思主义学院</w:t>
      </w:r>
      <w:r>
        <w:rPr>
          <w:rFonts w:hint="default" w:cs="微软雅黑" w:asciiTheme="minorEastAsia" w:hAnsiTheme="minorEastAsia" w:eastAsiaTheme="minorEastAsia"/>
          <w:sz w:val="24"/>
          <w:lang w:eastAsia="zh-Hans"/>
        </w:rPr>
        <w:t>, 陕西 西安 710129</w:t>
      </w:r>
      <w:r>
        <w:rPr>
          <w:rFonts w:hint="eastAsia" w:cs="微软雅黑" w:asciiTheme="minorEastAsia" w:hAnsiTheme="minorEastAsia" w:eastAsiaTheme="minorEastAsia"/>
          <w:sz w:val="24"/>
        </w:rPr>
        <w:t>）</w:t>
      </w:r>
    </w:p>
    <w:p>
      <w:pPr>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jc w:val="both"/>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摘</w:t>
      </w:r>
      <w:r>
        <w:rPr>
          <w:rFonts w:hint="default" w:asciiTheme="minorEastAsia" w:hAnsiTheme="minorEastAsia" w:eastAsiaTheme="minorEastAsia" w:cstheme="minorEastAsia"/>
          <w:b/>
          <w:bCs/>
          <w:color w:val="000000"/>
          <w:sz w:val="24"/>
          <w:szCs w:val="24"/>
        </w:rPr>
        <w:t xml:space="preserve"> </w:t>
      </w:r>
      <w:r>
        <w:rPr>
          <w:rFonts w:hint="eastAsia" w:asciiTheme="minorEastAsia" w:hAnsiTheme="minorEastAsia" w:eastAsiaTheme="minorEastAsia" w:cstheme="minorEastAsia"/>
          <w:b/>
          <w:bCs/>
          <w:color w:val="000000"/>
          <w:sz w:val="24"/>
          <w:szCs w:val="24"/>
        </w:rPr>
        <w:t>要</w:t>
      </w:r>
      <w:r>
        <w:rPr>
          <w:rFonts w:hint="eastAsia" w:asciiTheme="minorEastAsia" w:hAnsiTheme="minorEastAsia" w:eastAsiaTheme="minorEastAsia" w:cstheme="minorEastAsia"/>
          <w:b/>
          <w:bCs/>
          <w:color w:val="000000"/>
          <w:sz w:val="24"/>
          <w:szCs w:val="24"/>
          <w:lang w:eastAsia="zh-Hans"/>
        </w:rPr>
        <w:t>：</w:t>
      </w:r>
      <w:r>
        <w:rPr>
          <w:rStyle w:val="9"/>
          <w:rFonts w:hint="eastAsia" w:asciiTheme="minorEastAsia" w:hAnsiTheme="minorEastAsia" w:eastAsiaTheme="minorEastAsia" w:cstheme="minorEastAsia"/>
          <w:sz w:val="24"/>
          <w:szCs w:val="24"/>
          <w:lang w:val="en-US" w:eastAsia="zh-Hans"/>
        </w:rPr>
        <w:t>新时代思想政治工作是中国特色社会主义事业的精神动力，构建新时代思想政治工作大格局是对思想政治工作新局势、新态势的系统把握。应从“主体</w:t>
      </w:r>
      <w:r>
        <w:rPr>
          <w:rStyle w:val="9"/>
          <w:rFonts w:hint="default" w:asciiTheme="minorEastAsia" w:hAnsiTheme="minorEastAsia" w:eastAsiaTheme="minorEastAsia" w:cstheme="minorEastAsia"/>
          <w:sz w:val="24"/>
          <w:szCs w:val="24"/>
          <w:lang w:eastAsia="zh-Hans"/>
        </w:rPr>
        <w:t>-</w:t>
      </w:r>
      <w:r>
        <w:rPr>
          <w:rStyle w:val="9"/>
          <w:rFonts w:hint="eastAsia" w:asciiTheme="minorEastAsia" w:hAnsiTheme="minorEastAsia" w:eastAsiaTheme="minorEastAsia" w:cstheme="minorEastAsia"/>
          <w:sz w:val="24"/>
          <w:szCs w:val="24"/>
          <w:lang w:val="en-US" w:eastAsia="zh-Hans"/>
        </w:rPr>
        <w:t>队伍</w:t>
      </w:r>
      <w:r>
        <w:rPr>
          <w:rStyle w:val="9"/>
          <w:rFonts w:hint="default" w:asciiTheme="minorEastAsia" w:hAnsiTheme="minorEastAsia" w:eastAsiaTheme="minorEastAsia" w:cstheme="minorEastAsia"/>
          <w:sz w:val="24"/>
          <w:szCs w:val="24"/>
          <w:lang w:eastAsia="zh-Hans"/>
        </w:rPr>
        <w:t>-</w:t>
      </w:r>
      <w:r>
        <w:rPr>
          <w:rStyle w:val="9"/>
          <w:rFonts w:hint="eastAsia" w:asciiTheme="minorEastAsia" w:hAnsiTheme="minorEastAsia" w:eastAsiaTheme="minorEastAsia" w:cstheme="minorEastAsia"/>
          <w:sz w:val="24"/>
          <w:szCs w:val="24"/>
          <w:lang w:val="en-US" w:eastAsia="zh-Hans"/>
        </w:rPr>
        <w:t>方式</w:t>
      </w:r>
      <w:r>
        <w:rPr>
          <w:rStyle w:val="9"/>
          <w:rFonts w:hint="default" w:asciiTheme="minorEastAsia" w:hAnsiTheme="minorEastAsia" w:eastAsiaTheme="minorEastAsia" w:cstheme="minorEastAsia"/>
          <w:sz w:val="24"/>
          <w:szCs w:val="24"/>
          <w:lang w:eastAsia="zh-Hans"/>
        </w:rPr>
        <w:t>-</w:t>
      </w:r>
      <w:r>
        <w:rPr>
          <w:rStyle w:val="9"/>
          <w:rFonts w:hint="eastAsia" w:asciiTheme="minorEastAsia" w:hAnsiTheme="minorEastAsia" w:eastAsiaTheme="minorEastAsia" w:cstheme="minorEastAsia"/>
          <w:sz w:val="24"/>
          <w:szCs w:val="24"/>
          <w:lang w:val="en-US" w:eastAsia="zh-Hans"/>
        </w:rPr>
        <w:t>评价”四个维度系统构建思想政治工作大格局</w:t>
      </w:r>
      <w:r>
        <w:rPr>
          <w:rStyle w:val="9"/>
          <w:rFonts w:hint="eastAsia" w:asciiTheme="minorEastAsia" w:hAnsiTheme="minorEastAsia" w:eastAsiaTheme="minorEastAsia" w:cstheme="minorEastAsia"/>
          <w:sz w:val="24"/>
          <w:szCs w:val="24"/>
          <w:lang w:eastAsia="zh-Hans"/>
        </w:rPr>
        <w:t>，</w:t>
      </w:r>
      <w:r>
        <w:rPr>
          <w:rStyle w:val="9"/>
          <w:rFonts w:hint="eastAsia" w:asciiTheme="minorEastAsia" w:hAnsiTheme="minorEastAsia" w:eastAsiaTheme="minorEastAsia" w:cstheme="minorEastAsia"/>
          <w:sz w:val="24"/>
          <w:szCs w:val="24"/>
          <w:lang w:val="en-US" w:eastAsia="zh-Hans"/>
        </w:rPr>
        <w:t>即：不断完善体现大格局的领导体制和工作机制、打造适应大格局的专兼职结合的工作队伍、发挥深化大格局的文化设施与阵地功能、构建提升大格局效能的科学评价考核体系等方面全方位、分层次、有步骤地构建新时代思想政治工作大格局。</w:t>
      </w:r>
    </w:p>
    <w:p>
      <w:pPr>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jc w:val="both"/>
        <w:textAlignment w:val="auto"/>
        <w:outlineLvl w:val="9"/>
        <w:rPr>
          <w:rFonts w:hint="eastAsia" w:asciiTheme="minorEastAsia" w:hAnsiTheme="minorEastAsia" w:eastAsiaTheme="minorEastAsia" w:cstheme="minorEastAsia"/>
          <w:b/>
          <w:bCs/>
          <w:sz w:val="24"/>
          <w:szCs w:val="24"/>
          <w:lang w:val="en-US" w:eastAsia="zh-Hans"/>
        </w:rPr>
      </w:pPr>
      <w:r>
        <w:rPr>
          <w:rFonts w:hint="eastAsia" w:asciiTheme="minorEastAsia" w:hAnsiTheme="minorEastAsia" w:eastAsiaTheme="minorEastAsia" w:cstheme="minorEastAsia"/>
          <w:b/>
          <w:bCs/>
          <w:color w:val="000000"/>
          <w:sz w:val="24"/>
          <w:szCs w:val="24"/>
        </w:rPr>
        <w:t>关键词</w:t>
      </w:r>
      <w:r>
        <w:rPr>
          <w:rFonts w:hint="eastAsia" w:asciiTheme="minorEastAsia" w:hAnsiTheme="minorEastAsia" w:eastAsiaTheme="minorEastAsia" w:cstheme="minorEastAsia"/>
          <w:b/>
          <w:bCs/>
          <w:color w:val="000000"/>
          <w:sz w:val="24"/>
          <w:szCs w:val="24"/>
          <w:lang w:eastAsia="zh-Hans"/>
        </w:rPr>
        <w:t>：</w:t>
      </w:r>
      <w:r>
        <w:rPr>
          <w:rStyle w:val="9"/>
          <w:rFonts w:hint="eastAsia" w:asciiTheme="minorEastAsia" w:hAnsiTheme="minorEastAsia" w:eastAsiaTheme="minorEastAsia" w:cstheme="minorEastAsia"/>
          <w:sz w:val="24"/>
          <w:szCs w:val="24"/>
          <w:lang w:val="en-US" w:eastAsia="zh-Hans"/>
        </w:rPr>
        <w:t>新时代；思想政治工作；大格局；领导体制；工作队伍；文化阵地；考核体系</w:t>
      </w:r>
    </w:p>
    <w:p>
      <w:pPr>
        <w:keepNext w:val="0"/>
        <w:keepLines w:val="0"/>
        <w:pageBreakBefore w:val="0"/>
        <w:widowControl w:val="0"/>
        <w:tabs>
          <w:tab w:val="left" w:pos="411"/>
        </w:tabs>
        <w:kinsoku/>
        <w:wordWrap/>
        <w:overflowPunct/>
        <w:topLinePunct w:val="0"/>
        <w:autoSpaceDE/>
        <w:autoSpaceDN/>
        <w:bidi w:val="0"/>
        <w:adjustRightInd/>
        <w:snapToGrid/>
        <w:spacing w:line="440" w:lineRule="exact"/>
        <w:ind w:right="0" w:rightChars="0" w:firstLine="482" w:firstLineChars="200"/>
        <w:jc w:val="both"/>
        <w:textAlignment w:val="auto"/>
        <w:outlineLvl w:val="9"/>
        <w:rPr>
          <w:rFonts w:hint="eastAsia" w:ascii="仿宋_GB2312" w:hAnsi="仿宋_GB2312" w:eastAsia="仿宋_GB2312" w:cs="仿宋_GB2312"/>
          <w:b/>
          <w:bCs/>
          <w:color w:val="000000"/>
          <w:sz w:val="24"/>
        </w:rPr>
      </w:pPr>
      <w:r>
        <w:rPr>
          <w:rFonts w:hint="eastAsia" w:ascii="仿宋_GB2312" w:hAnsi="仿宋_GB2312" w:eastAsia="仿宋_GB2312" w:cs="仿宋_GB2312"/>
          <w:b/>
          <w:bCs/>
          <w:color w:val="000000"/>
          <w:sz w:val="24"/>
          <w:szCs w:val="24"/>
        </w:rPr>
        <w:t>[中图分类号</w:t>
      </w:r>
      <w:r>
        <w:rPr>
          <w:rFonts w:hint="eastAsia" w:ascii="仿宋_GB2312" w:hAnsi="仿宋_GB2312" w:eastAsia="仿宋_GB2312" w:cs="仿宋_GB2312"/>
          <w:color w:val="000000"/>
          <w:sz w:val="24"/>
          <w:szCs w:val="24"/>
        </w:rPr>
        <w:t xml:space="preserve">]G641     </w:t>
      </w: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b/>
          <w:bCs/>
          <w:color w:val="000000"/>
          <w:sz w:val="24"/>
        </w:rPr>
        <w:t>文献标识码</w:t>
      </w:r>
      <w:r>
        <w:rPr>
          <w:rFonts w:hint="eastAsia" w:ascii="仿宋_GB2312" w:hAnsi="仿宋_GB2312" w:eastAsia="仿宋_GB2312" w:cs="仿宋_GB2312"/>
          <w:color w:val="000000"/>
          <w:sz w:val="24"/>
        </w:rPr>
        <w:t>]A            [</w:t>
      </w:r>
      <w:r>
        <w:rPr>
          <w:rFonts w:hint="eastAsia" w:ascii="仿宋_GB2312" w:hAnsi="仿宋_GB2312" w:eastAsia="仿宋_GB2312" w:cs="仿宋_GB2312"/>
          <w:b/>
          <w:bCs/>
          <w:color w:val="000000"/>
          <w:sz w:val="24"/>
        </w:rPr>
        <w:t>文章编号]</w:t>
      </w:r>
    </w:p>
    <w:p>
      <w:pPr>
        <w:jc w:val="both"/>
        <w:rPr>
          <w:rFonts w:hint="eastAsia"/>
          <w:b/>
          <w:bCs/>
          <w:sz w:val="28"/>
          <w:szCs w:val="28"/>
          <w:lang w:val="en-US" w:eastAsia="zh-Hans"/>
        </w:rPr>
      </w:pP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both"/>
        <w:textAlignment w:val="auto"/>
        <w:outlineLvl w:val="9"/>
        <w:rPr>
          <w:rStyle w:val="9"/>
          <w:rFonts w:hint="eastAsia" w:asciiTheme="minorEastAsia" w:hAnsiTheme="minorEastAsia" w:eastAsiaTheme="minorEastAsia" w:cstheme="minorEastAsia"/>
          <w:sz w:val="24"/>
          <w:szCs w:val="24"/>
          <w:lang w:val="en-US" w:eastAsia="zh-Hans"/>
        </w:rPr>
      </w:pPr>
      <w:r>
        <w:rPr>
          <w:rStyle w:val="9"/>
          <w:rFonts w:hint="eastAsia"/>
          <w:sz w:val="24"/>
          <w:szCs w:val="24"/>
          <w:lang w:val="en-US" w:eastAsia="zh-Hans"/>
        </w:rPr>
        <w:t>构建新时代思想政治教育工作大格局主要解决“谁领导”、“谁来干”、“怎么干”、“如何评”的问题。新时代思想政治工作建立什么样的领导体制，就是解决“谁领导”的主体问题；</w:t>
      </w:r>
      <w:r>
        <w:rPr>
          <w:rStyle w:val="9"/>
          <w:rFonts w:hint="eastAsia" w:asciiTheme="minorEastAsia" w:hAnsiTheme="minorEastAsia" w:eastAsiaTheme="minorEastAsia" w:cstheme="minorEastAsia"/>
          <w:sz w:val="24"/>
          <w:szCs w:val="24"/>
          <w:lang w:val="en-US" w:eastAsia="zh-Hans"/>
        </w:rPr>
        <w:t>打造适应大格局的专兼职结合的工作队伍</w:t>
      </w:r>
      <w:r>
        <w:rPr>
          <w:rStyle w:val="9"/>
          <w:rFonts w:hint="eastAsia"/>
          <w:sz w:val="24"/>
          <w:szCs w:val="24"/>
          <w:lang w:val="en-US" w:eastAsia="zh-Hans"/>
        </w:rPr>
        <w:t>，解决“谁来干”的人员问题；发挥</w:t>
      </w:r>
      <w:r>
        <w:rPr>
          <w:rStyle w:val="9"/>
          <w:sz w:val="24"/>
          <w:szCs w:val="24"/>
        </w:rPr>
        <w:t>各级各类文化设施和阵地</w:t>
      </w:r>
      <w:r>
        <w:rPr>
          <w:rStyle w:val="9"/>
          <w:rFonts w:hint="eastAsia"/>
          <w:sz w:val="24"/>
          <w:szCs w:val="24"/>
          <w:lang w:val="en-US" w:eastAsia="zh-Hans"/>
        </w:rPr>
        <w:t>功能，解决“怎么干”的方式问题；最终构建</w:t>
      </w:r>
      <w:r>
        <w:rPr>
          <w:rStyle w:val="9"/>
          <w:sz w:val="24"/>
          <w:szCs w:val="24"/>
        </w:rPr>
        <w:t>科学有效的评价考核体系</w:t>
      </w:r>
      <w:r>
        <w:rPr>
          <w:rStyle w:val="9"/>
          <w:rFonts w:hint="eastAsia"/>
          <w:sz w:val="24"/>
          <w:szCs w:val="24"/>
          <w:lang w:eastAsia="zh-Hans"/>
        </w:rPr>
        <w:t>，</w:t>
      </w:r>
      <w:r>
        <w:rPr>
          <w:rStyle w:val="9"/>
          <w:rFonts w:hint="eastAsia"/>
          <w:sz w:val="24"/>
          <w:szCs w:val="24"/>
          <w:lang w:val="en-US" w:eastAsia="zh-Hans"/>
        </w:rPr>
        <w:t>解决“如何评”的标准问题。近期，《关于新时代加强和改进思想政治工作的意见》强调着重抓好领导体制机制、工作队伍、文化设施阵地、评价考核体系这四个方面工作，系统科学回答了</w:t>
      </w:r>
      <w:r>
        <w:rPr>
          <w:rStyle w:val="9"/>
          <w:rFonts w:hint="eastAsia" w:asciiTheme="minorEastAsia" w:hAnsiTheme="minorEastAsia" w:eastAsiaTheme="minorEastAsia" w:cstheme="minorEastAsia"/>
          <w:sz w:val="24"/>
          <w:szCs w:val="24"/>
          <w:lang w:val="en-US" w:eastAsia="zh-Hans"/>
        </w:rPr>
        <w:t>“主体</w:t>
      </w:r>
      <w:r>
        <w:rPr>
          <w:rStyle w:val="9"/>
          <w:rFonts w:hint="default" w:asciiTheme="minorEastAsia" w:hAnsiTheme="minorEastAsia" w:eastAsiaTheme="minorEastAsia" w:cstheme="minorEastAsia"/>
          <w:sz w:val="24"/>
          <w:szCs w:val="24"/>
          <w:lang w:eastAsia="zh-Hans"/>
        </w:rPr>
        <w:t>-</w:t>
      </w:r>
      <w:r>
        <w:rPr>
          <w:rStyle w:val="9"/>
          <w:rFonts w:hint="eastAsia" w:asciiTheme="minorEastAsia" w:hAnsiTheme="minorEastAsia" w:eastAsiaTheme="minorEastAsia" w:cstheme="minorEastAsia"/>
          <w:sz w:val="24"/>
          <w:szCs w:val="24"/>
          <w:lang w:val="en-US" w:eastAsia="zh-Hans"/>
        </w:rPr>
        <w:t>队伍</w:t>
      </w:r>
      <w:r>
        <w:rPr>
          <w:rStyle w:val="9"/>
          <w:rFonts w:hint="default" w:asciiTheme="minorEastAsia" w:hAnsiTheme="minorEastAsia" w:eastAsiaTheme="minorEastAsia" w:cstheme="minorEastAsia"/>
          <w:sz w:val="24"/>
          <w:szCs w:val="24"/>
          <w:lang w:eastAsia="zh-Hans"/>
        </w:rPr>
        <w:t>-</w:t>
      </w:r>
      <w:r>
        <w:rPr>
          <w:rStyle w:val="9"/>
          <w:rFonts w:hint="eastAsia" w:asciiTheme="minorEastAsia" w:hAnsiTheme="minorEastAsia" w:eastAsiaTheme="minorEastAsia" w:cstheme="minorEastAsia"/>
          <w:sz w:val="24"/>
          <w:szCs w:val="24"/>
          <w:lang w:val="en-US" w:eastAsia="zh-Hans"/>
        </w:rPr>
        <w:t>方式</w:t>
      </w:r>
      <w:r>
        <w:rPr>
          <w:rStyle w:val="9"/>
          <w:rFonts w:hint="default" w:asciiTheme="minorEastAsia" w:hAnsiTheme="minorEastAsia" w:eastAsiaTheme="minorEastAsia" w:cstheme="minorEastAsia"/>
          <w:sz w:val="24"/>
          <w:szCs w:val="24"/>
          <w:lang w:eastAsia="zh-Hans"/>
        </w:rPr>
        <w:t>-</w:t>
      </w:r>
      <w:r>
        <w:rPr>
          <w:rStyle w:val="9"/>
          <w:rFonts w:hint="eastAsia" w:asciiTheme="minorEastAsia" w:hAnsiTheme="minorEastAsia" w:eastAsiaTheme="minorEastAsia" w:cstheme="minorEastAsia"/>
          <w:sz w:val="24"/>
          <w:szCs w:val="24"/>
          <w:lang w:val="en-US" w:eastAsia="zh-Hans"/>
        </w:rPr>
        <w:t>评价”的关键性问题，为构建新时代思想政治工作大格局提供了科学指南。</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right="0" w:rightChars="0" w:firstLine="480" w:firstLineChars="200"/>
        <w:jc w:val="both"/>
        <w:textAlignment w:val="auto"/>
        <w:outlineLvl w:val="9"/>
        <w:rPr>
          <w:rStyle w:val="9"/>
          <w:b/>
          <w:bCs/>
          <w:sz w:val="24"/>
          <w:szCs w:val="24"/>
        </w:rPr>
      </w:pPr>
      <w:r>
        <w:rPr>
          <w:rStyle w:val="9"/>
          <w:rFonts w:hint="eastAsia"/>
          <w:b/>
          <w:bCs/>
          <w:sz w:val="24"/>
          <w:szCs w:val="24"/>
          <w:lang w:val="en-US"/>
        </w:rPr>
        <w:t>一、</w:t>
      </w:r>
      <w:r>
        <w:rPr>
          <w:rStyle w:val="9"/>
          <w:rFonts w:hint="eastAsia"/>
          <w:b/>
          <w:bCs/>
          <w:sz w:val="24"/>
          <w:szCs w:val="24"/>
          <w:lang w:val="en-US" w:eastAsia="zh-Hans"/>
        </w:rPr>
        <w:t>主体维度：坚持党的领导与发挥群团组织作用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right="0" w:rightChars="0" w:firstLine="480" w:firstLineChars="200"/>
        <w:jc w:val="both"/>
        <w:textAlignment w:val="auto"/>
        <w:outlineLvl w:val="9"/>
        <w:rPr>
          <w:rStyle w:val="9"/>
          <w:rFonts w:hint="eastAsia" w:eastAsia="宋体"/>
          <w:sz w:val="24"/>
          <w:szCs w:val="24"/>
          <w:lang w:val="en-US" w:eastAsia="zh-Hans"/>
        </w:rPr>
      </w:pPr>
      <w:r>
        <w:rPr>
          <w:rStyle w:val="9"/>
          <w:rFonts w:hint="eastAsia"/>
          <w:sz w:val="24"/>
          <w:szCs w:val="24"/>
          <w:lang w:val="en-US" w:eastAsia="zh-Hans"/>
        </w:rPr>
        <w:t>新时代思想政治工作为中国特色社会主义事业提供智力支持与精神动力，坚持党委统一领导是构建思想政治工作大格局的根本保证，党政齐抓共管能够有效促进党委统一领导，不断提升与完善领导体制和工作机制，增强党委把方向、谋大局、定政策、促改革的能力与定力。</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right="0" w:rightChars="0" w:firstLine="480" w:firstLineChars="200"/>
        <w:jc w:val="both"/>
        <w:textAlignment w:val="auto"/>
        <w:outlineLvl w:val="9"/>
        <w:rPr>
          <w:rFonts w:hint="default"/>
          <w:sz w:val="24"/>
          <w:szCs w:val="24"/>
          <w:vertAlign w:val="superscript"/>
          <w:lang w:eastAsia="zh-Hans"/>
        </w:rPr>
      </w:pPr>
      <w:r>
        <w:rPr>
          <w:rStyle w:val="9"/>
          <w:rFonts w:hint="eastAsia"/>
          <w:sz w:val="24"/>
          <w:szCs w:val="24"/>
          <w:lang w:val="en-US" w:eastAsia="zh-Hans"/>
        </w:rPr>
        <w:t>构建新时代思想政治工作大格局“重”在坚持党的统一领导。坚持党的统一领导是构建思想政治工作大格局的基础和前提。领导主体的界定是马克思主义领导理论的基本问题，领导主体决定着领导活动的组织。列宁指出无产阶级政党对国家政权领导的必然性，认为“党是直接执政的无产阶级的先锋队，是领导者。”</w:t>
      </w:r>
      <w:r>
        <w:rPr>
          <w:rStyle w:val="9"/>
          <w:rFonts w:hint="default"/>
          <w:sz w:val="24"/>
          <w:szCs w:val="24"/>
          <w:vertAlign w:val="superscript"/>
          <w:lang w:eastAsia="zh-Hans"/>
        </w:rPr>
        <w:t>[</w:t>
      </w:r>
      <w:r>
        <w:rPr>
          <w:rFonts w:hint="default"/>
          <w:sz w:val="24"/>
          <w:szCs w:val="24"/>
          <w:vertAlign w:val="superscript"/>
          <w:lang w:eastAsia="zh-Hans"/>
        </w:rPr>
        <w:t>1]</w:t>
      </w:r>
      <w:r>
        <w:rPr>
          <w:rStyle w:val="9"/>
          <w:rFonts w:hint="eastAsia"/>
          <w:sz w:val="24"/>
          <w:szCs w:val="24"/>
          <w:lang w:val="en-US" w:eastAsia="zh-Hans"/>
        </w:rPr>
        <w:t>以毛泽东为主要代表的中国共产党人在革命斗争中创造性地确立了思想建党、政治建党的原则，并在抗日战争中逐步深化对党的领导地位的作用的认识，巩固和发展党对抗日民族统一战线的领导，把党的建设作为中国革命的“三大法宝”之一。在全国内战爆发后，毛泽东对党的领导地位作出理论上的深刻阐述。新中国成立后，“领导我们事业的核心力量是中国共产党。”</w:t>
      </w:r>
      <w:r>
        <w:rPr>
          <w:rStyle w:val="9"/>
          <w:rFonts w:hint="default"/>
          <w:sz w:val="24"/>
          <w:szCs w:val="24"/>
          <w:vertAlign w:val="superscript"/>
          <w:lang w:eastAsia="zh-Hans"/>
        </w:rPr>
        <w:t>[</w:t>
      </w:r>
      <w:r>
        <w:rPr>
          <w:rFonts w:hint="default"/>
          <w:sz w:val="24"/>
          <w:szCs w:val="24"/>
          <w:vertAlign w:val="superscript"/>
          <w:lang w:eastAsia="zh-Hans"/>
        </w:rPr>
        <w:t>2</w:t>
      </w:r>
      <w:r>
        <w:rPr>
          <w:rFonts w:hint="default"/>
          <w:sz w:val="24"/>
          <w:szCs w:val="24"/>
          <w:vertAlign w:val="superscript"/>
          <w:lang w:eastAsia="zh-Hans"/>
        </w:rPr>
        <w:t>]</w:t>
      </w:r>
      <w:r>
        <w:rPr>
          <w:rStyle w:val="9"/>
          <w:rFonts w:hint="eastAsia"/>
          <w:sz w:val="24"/>
          <w:szCs w:val="24"/>
          <w:lang w:val="en-US" w:eastAsia="zh-Hans"/>
        </w:rPr>
        <w:t>以法律的形式确立了党的领导地位。</w:t>
      </w:r>
      <w:r>
        <w:rPr>
          <w:rStyle w:val="9"/>
          <w:rFonts w:hint="default"/>
          <w:sz w:val="24"/>
          <w:szCs w:val="24"/>
          <w:lang w:eastAsia="zh-Hans"/>
        </w:rPr>
        <w:t>1962</w:t>
      </w:r>
      <w:r>
        <w:rPr>
          <w:rStyle w:val="9"/>
          <w:rFonts w:hint="eastAsia"/>
          <w:sz w:val="24"/>
          <w:szCs w:val="24"/>
          <w:lang w:val="en-US" w:eastAsia="zh-Hans"/>
        </w:rPr>
        <w:t>年，毛泽东对党的领导作出更明确的界定，“工、农、商、学、兵、政、党这七个方面，党是领导一切的。”</w:t>
      </w:r>
      <w:r>
        <w:rPr>
          <w:rStyle w:val="9"/>
          <w:rFonts w:hint="default"/>
          <w:sz w:val="24"/>
          <w:szCs w:val="24"/>
          <w:vertAlign w:val="superscript"/>
          <w:lang w:eastAsia="zh-Hans"/>
        </w:rPr>
        <w:t>[</w:t>
      </w:r>
      <w:r>
        <w:rPr>
          <w:rFonts w:hint="default"/>
          <w:sz w:val="24"/>
          <w:szCs w:val="24"/>
          <w:vertAlign w:val="superscript"/>
          <w:lang w:eastAsia="zh-Hans"/>
        </w:rPr>
        <w:t>3</w:t>
      </w:r>
      <w:r>
        <w:rPr>
          <w:rFonts w:hint="default"/>
          <w:sz w:val="24"/>
          <w:szCs w:val="24"/>
          <w:vertAlign w:val="superscript"/>
          <w:lang w:eastAsia="zh-Hans"/>
        </w:rPr>
        <w:t>]</w:t>
      </w:r>
      <w:r>
        <w:rPr>
          <w:rStyle w:val="9"/>
          <w:rFonts w:hint="eastAsia"/>
          <w:sz w:val="24"/>
          <w:szCs w:val="24"/>
          <w:lang w:val="en-US" w:eastAsia="zh-Hans"/>
        </w:rPr>
        <w:t>十一届三中全会后，邓小平提出坚持四项基本原则的核心是坚持党的领导，并多方面强调了党的领导的重要性，办好中国的事情，关键在党。为着力提高领导水平与思想工作，江泽民将治党与治国有机联系起来，深化了从严治党的认识，提出“两个先锋队”的重要思想。胡锦涛不断丰富与发展党的领导内涵，将科学、民主、依法执政作为党的领导的重要内容，不断丰富与发展中国共产党是中国特色社会主义事业的领导核心的科学论断。十八大以来，习近平指出中国特色社会主义最本质的特征和最大制度优势就是坚持中国共产党的领导。十九届六中全会审议通过的《中共中央关于党的百年奋斗重大成就和历史经验的决议》中，把坚持党的领导作为党的百年奋斗历史经验之一。“党的领导是党和国家的根本所在、命脉所在，是全国各族人民的利益所系、命运所系”</w:t>
      </w:r>
      <w:r>
        <w:rPr>
          <w:rFonts w:hint="eastAsia" w:asciiTheme="minorEastAsia" w:hAnsiTheme="minorEastAsia" w:eastAsiaTheme="minorEastAsia" w:cstheme="minorEastAsia"/>
          <w:b w:val="0"/>
          <w:i w:val="0"/>
          <w:caps w:val="0"/>
          <w:color w:val="333333"/>
          <w:spacing w:val="0"/>
          <w:sz w:val="24"/>
          <w:szCs w:val="24"/>
          <w:shd w:val="clear" w:fill="FFFFFF"/>
          <w:lang w:eastAsia="zh-Hans"/>
        </w:rPr>
        <w:t>。</w:t>
      </w:r>
      <w:r>
        <w:rPr>
          <w:rStyle w:val="9"/>
          <w:rFonts w:hint="default"/>
          <w:sz w:val="24"/>
          <w:szCs w:val="24"/>
          <w:vertAlign w:val="superscript"/>
          <w:lang w:eastAsia="zh-Hans"/>
        </w:rPr>
        <w:t>[</w:t>
      </w:r>
      <w:r>
        <w:rPr>
          <w:rFonts w:hint="default"/>
          <w:sz w:val="24"/>
          <w:szCs w:val="24"/>
          <w:vertAlign w:val="superscript"/>
          <w:lang w:eastAsia="zh-Hans"/>
        </w:rPr>
        <w:t>4</w:t>
      </w:r>
      <w:r>
        <w:rPr>
          <w:rFonts w:hint="default"/>
          <w:sz w:val="24"/>
          <w:szCs w:val="24"/>
          <w:vertAlign w:val="superscript"/>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firstLine="480" w:firstLineChars="200"/>
        <w:jc w:val="both"/>
        <w:textAlignment w:val="auto"/>
        <w:outlineLvl w:val="9"/>
        <w:rPr>
          <w:rStyle w:val="9"/>
          <w:rFonts w:hint="eastAsia"/>
          <w:sz w:val="24"/>
          <w:szCs w:val="24"/>
          <w:lang w:val="en-US" w:eastAsia="zh-Hans"/>
        </w:rPr>
      </w:pPr>
      <w:r>
        <w:rPr>
          <w:rStyle w:val="9"/>
          <w:rFonts w:hint="eastAsia"/>
          <w:sz w:val="24"/>
          <w:szCs w:val="24"/>
          <w:lang w:val="en-US" w:eastAsia="zh-Hans"/>
        </w:rPr>
        <w:t>构建新时代思想政治工作大格局“特”在发挥群团组织桥梁纽带作用。群团组织是我国社会主义现代化建设的重要力量，是党和政府联系人民群众的主要载体与助手，群团组织自诞生就与国家命运、社会形势及党的战略紧密相连。新民主主义革命时期，革命形势严峻复杂，党组织较年轻与薄弱，急需外围力量肩负起“团结与动员”各个社会群体的使命，群团组织成立后主动接受党的领导及组织设置，积极团结部分群众，广泛动员群众积极投入革命中去，共同完成新民主主义革命的任务。抗日战争爆发后，团中央成立“西北青年救国联合会”与地方抗日青年救亡团体组建成抗日青年统一战线。新中国成立后，全国性的群团组织进行改组重建，建立起从中央到地方的分层管理体系，群团组织主动联系与动员广大群众在党的领导下积极投入新政权建设，积极推动完成工商业的社会主义改造。改革开放后，党逐渐以经济建设为重心，群团组织适应改革要求进行系列调整与联系群众工作，加强与部分群众的接触，探索表达与维护所在群体利益的机制和渠道。党的十八大以来，进一步增强政治性、先进性与群众性，在国家治理体系与治理能力现代化中，群团组织作为青年工作的重要力量，是介于党与政府之间承担起“执行性治理主体”的角色，引导广大群众有序表达群体诉求，维护群众合法权益，充当“参与性治理主体”，逐步推进国家治理体系与治理能力现代化。</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firstLine="480" w:firstLineChars="200"/>
        <w:jc w:val="both"/>
        <w:textAlignment w:val="auto"/>
        <w:outlineLvl w:val="9"/>
        <w:rPr>
          <w:rStyle w:val="9"/>
          <w:rFonts w:hint="eastAsia"/>
          <w:sz w:val="24"/>
          <w:szCs w:val="24"/>
          <w:lang w:val="en-US" w:eastAsia="zh-Hans"/>
        </w:rPr>
      </w:pPr>
      <w:r>
        <w:rPr>
          <w:rStyle w:val="9"/>
          <w:rFonts w:hint="eastAsia"/>
          <w:sz w:val="24"/>
          <w:szCs w:val="24"/>
          <w:lang w:val="en-US" w:eastAsia="zh-Hans"/>
        </w:rPr>
        <w:t>构建思想政治工作大格局应坚持党的统一领导，发挥群团组织桥梁纽带作用，齐抓共管、各司其职，依靠制度的规范性与制约性，构建思想政治工作的创新机制。</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firstLine="480" w:firstLineChars="200"/>
        <w:jc w:val="both"/>
        <w:textAlignment w:val="auto"/>
        <w:outlineLvl w:val="9"/>
        <w:rPr>
          <w:rStyle w:val="9"/>
          <w:rFonts w:hint="eastAsia"/>
          <w:b/>
          <w:bCs/>
          <w:sz w:val="24"/>
          <w:szCs w:val="24"/>
          <w:lang w:val="en-US"/>
        </w:rPr>
      </w:pPr>
      <w:r>
        <w:rPr>
          <w:rStyle w:val="9"/>
          <w:rFonts w:hint="eastAsia"/>
          <w:b/>
          <w:bCs/>
          <w:sz w:val="24"/>
          <w:szCs w:val="24"/>
          <w:lang w:val="en-US" w:eastAsia="zh-Hans"/>
        </w:rPr>
        <w:t>二、队伍维度：</w:t>
      </w:r>
      <w:r>
        <w:rPr>
          <w:rStyle w:val="9"/>
          <w:rFonts w:hint="eastAsia"/>
          <w:b/>
          <w:bCs/>
          <w:sz w:val="24"/>
          <w:szCs w:val="24"/>
          <w:lang w:val="en-US"/>
        </w:rPr>
        <w:t>打造</w:t>
      </w:r>
      <w:r>
        <w:rPr>
          <w:rStyle w:val="9"/>
          <w:rFonts w:hint="eastAsia"/>
          <w:b/>
          <w:bCs/>
          <w:sz w:val="24"/>
          <w:szCs w:val="24"/>
          <w:lang w:val="en-US" w:eastAsia="zh-CN"/>
        </w:rPr>
        <w:t>适应</w:t>
      </w:r>
      <w:r>
        <w:rPr>
          <w:rStyle w:val="9"/>
          <w:rFonts w:hint="eastAsia"/>
          <w:b/>
          <w:bCs/>
          <w:sz w:val="24"/>
          <w:szCs w:val="24"/>
          <w:lang w:val="en-US" w:eastAsia="zh-Hans"/>
        </w:rPr>
        <w:t>“</w:t>
      </w:r>
      <w:r>
        <w:rPr>
          <w:rStyle w:val="9"/>
          <w:rFonts w:hint="eastAsia"/>
          <w:b/>
          <w:bCs/>
          <w:sz w:val="24"/>
          <w:szCs w:val="24"/>
          <w:lang w:val="en-US" w:eastAsia="zh-CN"/>
        </w:rPr>
        <w:t>大格局</w:t>
      </w:r>
      <w:r>
        <w:rPr>
          <w:rStyle w:val="9"/>
          <w:rFonts w:hint="eastAsia"/>
          <w:b/>
          <w:bCs/>
          <w:sz w:val="24"/>
          <w:szCs w:val="24"/>
          <w:lang w:val="en-US" w:eastAsia="zh-Hans"/>
        </w:rPr>
        <w:t>”</w:t>
      </w:r>
      <w:r>
        <w:rPr>
          <w:rStyle w:val="9"/>
          <w:rFonts w:hint="eastAsia"/>
          <w:b/>
          <w:bCs/>
          <w:sz w:val="24"/>
          <w:szCs w:val="24"/>
          <w:lang w:val="en-US" w:eastAsia="zh-CN"/>
        </w:rPr>
        <w:t>的</w:t>
      </w:r>
      <w:r>
        <w:rPr>
          <w:rStyle w:val="9"/>
          <w:rFonts w:hint="eastAsia"/>
          <w:b/>
          <w:bCs/>
          <w:sz w:val="24"/>
          <w:szCs w:val="24"/>
          <w:lang w:val="en-US"/>
        </w:rPr>
        <w:t>专兼结合工作</w:t>
      </w:r>
      <w:r>
        <w:rPr>
          <w:rStyle w:val="9"/>
          <w:rFonts w:hint="eastAsia"/>
          <w:b/>
          <w:bCs/>
          <w:sz w:val="24"/>
          <w:szCs w:val="24"/>
          <w:lang w:val="en-US" w:eastAsia="zh-Hans"/>
        </w:rPr>
        <w:t>人员</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150" w:right="0" w:rightChars="0" w:firstLine="120" w:firstLineChars="50"/>
        <w:jc w:val="both"/>
        <w:textAlignment w:val="auto"/>
        <w:outlineLvl w:val="9"/>
        <w:rPr>
          <w:rStyle w:val="9"/>
          <w:rFonts w:hint="eastAsia"/>
          <w:sz w:val="24"/>
          <w:szCs w:val="24"/>
          <w:lang w:val="en-US" w:eastAsia="zh-Hans"/>
        </w:rPr>
      </w:pPr>
      <w:r>
        <w:rPr>
          <w:rStyle w:val="9"/>
          <w:rFonts w:hint="eastAsia"/>
          <w:sz w:val="24"/>
          <w:szCs w:val="24"/>
          <w:lang w:val="en-US" w:eastAsia="zh-Hans"/>
        </w:rPr>
        <w:t>打造适应大格局的专兼结合工作队伍要求具有基本素养与实践研究能力，建</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jc w:val="both"/>
        <w:textAlignment w:val="auto"/>
        <w:outlineLvl w:val="9"/>
        <w:rPr>
          <w:rStyle w:val="9"/>
          <w:rFonts w:hint="eastAsia"/>
          <w:sz w:val="24"/>
          <w:szCs w:val="24"/>
          <w:lang w:val="en-US" w:eastAsia="zh-Hans"/>
        </w:rPr>
      </w:pPr>
      <w:r>
        <w:rPr>
          <w:rStyle w:val="9"/>
          <w:rFonts w:hint="eastAsia"/>
          <w:sz w:val="24"/>
          <w:szCs w:val="24"/>
          <w:lang w:val="en-US" w:eastAsia="zh-Hans"/>
        </w:rPr>
        <w:t>好用好“三支队伍”，配强配齐以思政课工作人员、思政课教师为主体的专业队伍，充实优化以各行各业代表为主体的兼职工作队伍，不断壮大文明志愿者为主体的志愿者服务队伍。同时，</w:t>
      </w:r>
      <w:bookmarkStart w:id="0" w:name="_GoBack"/>
      <w:bookmarkEnd w:id="0"/>
      <w:r>
        <w:rPr>
          <w:rStyle w:val="9"/>
          <w:rFonts w:hint="eastAsia"/>
          <w:sz w:val="24"/>
          <w:szCs w:val="24"/>
          <w:lang w:val="en-US" w:eastAsia="zh-Hans"/>
        </w:rPr>
        <w:t>打造适应大格局的思想政治工作队伍关键是优化结构。</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firstLine="480" w:firstLineChars="200"/>
        <w:jc w:val="both"/>
        <w:textAlignment w:val="auto"/>
        <w:outlineLvl w:val="9"/>
        <w:rPr>
          <w:rStyle w:val="9"/>
          <w:rFonts w:hint="eastAsia"/>
          <w:sz w:val="24"/>
          <w:szCs w:val="24"/>
          <w:lang w:val="en-US" w:eastAsia="zh-Hans"/>
        </w:rPr>
      </w:pPr>
      <w:r>
        <w:rPr>
          <w:rStyle w:val="9"/>
          <w:rFonts w:hint="eastAsia"/>
          <w:sz w:val="24"/>
          <w:szCs w:val="24"/>
          <w:lang w:val="en-US" w:eastAsia="zh-Hans"/>
        </w:rPr>
        <w:t>打造思想政治工作大格局队伍前提是提升基本素养。思想政治工作队伍是做好思想政治工作的前提与保障，是开展思想政治工作的组织者、实施者，他们的基本素养直接影响着思想政治工作的质量与水平。首先，坚定的政治素养是前提。坚定的政治素养是思想政治工作整体开展的关键，在复杂多变的社会现实中保持冷静，不断掌握与提升马克思主义大众化的工作原则方法，运用灵活的思想政治工作方式与内容，进一步提升马克思主义的理论家的功底与能力，形成强大的精神力量与前进动力。其次，扎实的理论素养是基础。理论素养是思想政治工作队伍基本素养的前提与基础。思想政治工作队伍应进一步提升马克思主义理论水平与功底。作为马克思主义理论家应潜心研究文本与原著，练好“基本功”。对马克思主义理论体系有系统深入、准确完整的理解与把握，只有理论功底深厚才能理性分析与有效回应社会问题，并从特定视角和中国实践中不断创新，形成普遍性规律的认识，结合中国现实将理论与实践有效结合，解决中国问题。最后，良好的品德修养是关键。思想政治工作者做好工作的关键在于提升良好的品德修养，思想政治工作者有律己意识和思想觉悟，应将党、集体、他人的利益放在首位，以身作则、模范示范，加强责任感与凝聚力，同时加强自身的能力修养，提升开展思想政治工作的组织能力和表达能力。</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firstLine="480" w:firstLineChars="200"/>
        <w:jc w:val="both"/>
        <w:textAlignment w:val="auto"/>
        <w:outlineLvl w:val="9"/>
        <w:rPr>
          <w:rStyle w:val="9"/>
          <w:rFonts w:hint="eastAsia"/>
          <w:sz w:val="24"/>
          <w:szCs w:val="24"/>
          <w:lang w:val="en-US" w:eastAsia="zh-Hans"/>
        </w:rPr>
      </w:pPr>
      <w:r>
        <w:rPr>
          <w:rStyle w:val="9"/>
          <w:rFonts w:hint="eastAsia"/>
          <w:sz w:val="24"/>
          <w:szCs w:val="24"/>
          <w:lang w:val="en-US" w:eastAsia="zh-Hans"/>
        </w:rPr>
        <w:t>打造适应大格局的思想政治工作队伍关键是优化结构。思想政治工作队伍结构优化主要是“知识结构、年龄结构、学历结构、职称结构”等方面的整体布局与协调。在队伍知识结构上，思想政治工作者应具备科学合理、结构完整的知识结构，具有必要的理论知识、专业知识与辅助知识。理论知识主要是马克思主义的理论知识，这是思想政治工作的理论基础。专业知识是从事思想政治工作的基本理论与工作业务的知识，这些知识与思想政治工作密切相关、紧密结合。辅助知识是与思想政治工作相关的常识性知识，主要是新兴学科与单位工作的知识。在队伍年龄结构方面，应充分发挥有经验同志的“传帮带”作用，整体提升年轻思政工作者的能力素养。在学历结构上，积极吸收高层次专业特长的人才，从福利待遇、工作环境上引进高学历人才，发挥其专业特长，提升整个思想政治工作水平。在职称结构上，推动思想政治工作队伍的职称有序晋升，职称结构不断梯次性优化。针对特殊稀缺及层次高的人才开通“绿色通道”，采取“高薪聘请”与“定向引进”等多种形式引进紧缺人才，有计划、有步骤地加强培养不同层级的思想政治工作者，通过联动网络、现场会议、报告会等实现思想政治工作的互动与交流，不断增强思想政治工作的影响力与传播力，并构建社会、学校、家庭协同共建的思想政治工作环境。</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Style w:val="9"/>
          <w:rFonts w:hint="eastAsia"/>
          <w:b/>
          <w:bCs/>
          <w:sz w:val="24"/>
          <w:szCs w:val="24"/>
          <w:lang w:val="en-US"/>
        </w:rPr>
      </w:pPr>
      <w:r>
        <w:rPr>
          <w:rStyle w:val="9"/>
          <w:rFonts w:hint="eastAsia"/>
          <w:b/>
          <w:bCs/>
          <w:sz w:val="24"/>
          <w:szCs w:val="24"/>
          <w:lang w:val="en-US" w:eastAsia="zh-Hans"/>
        </w:rPr>
        <w:t>方式维度：</w:t>
      </w:r>
      <w:r>
        <w:rPr>
          <w:rStyle w:val="9"/>
          <w:rFonts w:hint="eastAsia"/>
          <w:b/>
          <w:bCs/>
          <w:sz w:val="24"/>
          <w:szCs w:val="24"/>
          <w:lang w:val="en-US"/>
        </w:rPr>
        <w:t>发挥</w:t>
      </w:r>
      <w:r>
        <w:rPr>
          <w:rStyle w:val="9"/>
          <w:rFonts w:hint="eastAsia"/>
          <w:b/>
          <w:bCs/>
          <w:sz w:val="24"/>
          <w:szCs w:val="24"/>
          <w:lang w:val="en-US" w:eastAsia="zh-CN"/>
        </w:rPr>
        <w:t>深化大格局的</w:t>
      </w:r>
      <w:r>
        <w:rPr>
          <w:rStyle w:val="9"/>
          <w:rFonts w:hint="eastAsia"/>
          <w:b/>
          <w:bCs/>
          <w:sz w:val="24"/>
          <w:szCs w:val="24"/>
          <w:lang w:val="en-US"/>
        </w:rPr>
        <w:t>文化设施</w:t>
      </w:r>
      <w:r>
        <w:rPr>
          <w:rStyle w:val="9"/>
          <w:rFonts w:hint="eastAsia"/>
          <w:b/>
          <w:bCs/>
          <w:sz w:val="24"/>
          <w:szCs w:val="24"/>
          <w:lang w:val="en-US" w:eastAsia="zh-CN"/>
        </w:rPr>
        <w:t>与</w:t>
      </w:r>
      <w:r>
        <w:rPr>
          <w:rStyle w:val="9"/>
          <w:rFonts w:hint="eastAsia"/>
          <w:b/>
          <w:bCs/>
          <w:sz w:val="24"/>
          <w:szCs w:val="24"/>
          <w:lang w:val="en-US"/>
        </w:rPr>
        <w:t>阵地功能</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right="0" w:rightChars="0"/>
        <w:jc w:val="both"/>
        <w:textAlignment w:val="auto"/>
        <w:outlineLvl w:val="9"/>
        <w:rPr>
          <w:rStyle w:val="9"/>
          <w:rFonts w:hint="eastAsia"/>
          <w:b w:val="0"/>
          <w:bCs w:val="0"/>
          <w:sz w:val="24"/>
          <w:szCs w:val="24"/>
          <w:lang w:val="en-US" w:eastAsia="zh-Hans"/>
        </w:rPr>
      </w:pPr>
      <w:r>
        <w:rPr>
          <w:rStyle w:val="9"/>
          <w:rFonts w:hint="eastAsia"/>
          <w:b w:val="0"/>
          <w:bCs w:val="0"/>
          <w:sz w:val="24"/>
          <w:szCs w:val="24"/>
          <w:lang w:val="en-US" w:eastAsia="zh-Hans"/>
        </w:rPr>
        <w:t>文化设施与阵地建设是构建思想政治工作的重要方式。应充分用好各级各类</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jc w:val="both"/>
        <w:textAlignment w:val="auto"/>
        <w:outlineLvl w:val="9"/>
        <w:rPr>
          <w:rStyle w:val="9"/>
          <w:rFonts w:hint="eastAsia" w:eastAsia="宋体"/>
          <w:b w:val="0"/>
          <w:bCs w:val="0"/>
          <w:sz w:val="24"/>
          <w:szCs w:val="24"/>
          <w:lang w:val="en-US" w:eastAsia="zh-Hans"/>
        </w:rPr>
      </w:pPr>
      <w:r>
        <w:rPr>
          <w:rStyle w:val="9"/>
          <w:rFonts w:hint="eastAsia"/>
          <w:b w:val="0"/>
          <w:bCs w:val="0"/>
          <w:sz w:val="24"/>
          <w:szCs w:val="24"/>
          <w:lang w:val="en-US" w:eastAsia="zh-Hans"/>
        </w:rPr>
        <w:t>文化设施与阵地，加强阵地“以文化人”的价值导向作用，实施文化阵地的宣传平台建设，挖掘红色资源加强阵地管理等做好思想政治工作。</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firstLine="480" w:firstLineChars="200"/>
        <w:jc w:val="both"/>
        <w:textAlignment w:val="auto"/>
        <w:outlineLvl w:val="9"/>
        <w:rPr>
          <w:rStyle w:val="9"/>
          <w:rFonts w:hint="eastAsia"/>
          <w:sz w:val="24"/>
          <w:szCs w:val="24"/>
          <w:lang w:val="en-US" w:eastAsia="zh-Hans"/>
        </w:rPr>
      </w:pPr>
      <w:r>
        <w:rPr>
          <w:rStyle w:val="9"/>
          <w:rFonts w:hint="eastAsia"/>
          <w:b w:val="0"/>
          <w:bCs w:val="0"/>
          <w:sz w:val="24"/>
          <w:szCs w:val="24"/>
          <w:lang w:val="en-US" w:eastAsia="zh-Hans"/>
        </w:rPr>
        <w:t>加强阵地“以文化人”的价值导向。</w:t>
      </w:r>
      <w:r>
        <w:rPr>
          <w:rStyle w:val="9"/>
          <w:rFonts w:hint="eastAsia"/>
          <w:sz w:val="24"/>
          <w:szCs w:val="24"/>
          <w:lang w:val="en-US" w:eastAsia="zh-Hans"/>
        </w:rPr>
        <w:t>思想政治工作是一项综合性强、复杂度高的工程，应用好各类文化设施与阵地，深化以文化人的价值导向，结合新形势对文化资源进行创新运用，并结合以文化人的特点创新分析，必须遵循以下几个原则。一是政治方向原则。思想政治工作的政治性是首要属性，政治性应贯穿思想政治工作“以文化人”的全过程，用先进的文化陶冶人、激励人，并使人逐步接受先进文化的指引。加强爱国主义教育基地、文化馆、图书馆、博物馆等的规划使用，在潜移默化中对受教育者进行政治教育与引导。二是系统整体原则。思想政治工作是全员、全方位、全过程化人的过程，是一项系统性、整体性工程。每个人都担负着思想政治工作“以文化人”的时代使命，是这项工作的承担者、推进者和建设者，保障“以文化人”的良性运转与有效开展。思想政治工作应融入社会生活的方方面面，各行各业都应营造良好的文化环境，特别是学校、家庭、社会等多领域的协调配合，目标一致，最终形成协同育人的场域。三是涵濡浸渍原则。思想政治工作兼具有思想性、理论性、亲和力与感染力，思想政治工作涵濡浸渍原则是通过文化浸润、感染、熏陶，形成润物无声的育人力量，达到“润物无声”的育人效果。</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firstLine="480" w:firstLineChars="200"/>
        <w:jc w:val="both"/>
        <w:textAlignment w:val="auto"/>
        <w:outlineLvl w:val="9"/>
        <w:rPr>
          <w:rStyle w:val="9"/>
          <w:rFonts w:hint="eastAsia"/>
          <w:sz w:val="24"/>
          <w:szCs w:val="24"/>
          <w:lang w:val="en-US" w:eastAsia="zh-Hans"/>
        </w:rPr>
      </w:pPr>
      <w:r>
        <w:rPr>
          <w:rStyle w:val="9"/>
          <w:rFonts w:hint="eastAsia"/>
          <w:sz w:val="24"/>
          <w:szCs w:val="24"/>
          <w:lang w:val="en-US" w:eastAsia="zh-Hans"/>
        </w:rPr>
        <w:t>建设文化设施与阵地宣传平台。丰富宣传平台，实施公益宣传平台传播工程，提升思想政治工作实效性，打造会刊、网站、艺术馆等宣传阵地，全方位、多角度地开展思想政治工作宣传舆论工作。一是加强宣传主体建设。思想政治工作的宣传主体应树立思想政治工作大格局的理念。在进行思想政治工作中树立人人参与的大格局理念，高校教师、班主任、党政干部、宣传人员在宣传思想工作中是重要力量，同时主流价值观的意见领袖也是宣传主体的重要组成部分，党委统一领导，各部门密切配合，加强引导与分析研判。加大信息传送的宽度，减少传递层次与信息失真，充分发挥各宣传主体优势，构建良好的体制机制，真正提升宣传思想引导效果，最终建立制度化的领导机构。二是加强宣传文化建设。宣传思想的核心在于话语权的争夺，应建构有理有据的话语内容建设，实现宣传思想的有效引导，产生一种使人信服的价值导向力量，强化内在需求，注重内容创新，通过多种宣传平台将理论性的内容通俗化，进一步增强宣传的吸引力与理解力。三是加强宣传平台建设。平台搭建是宣传思想引导的有效方式，“用好各级各类文化设施和阵地，加强各级各类党员教育培训基地、爱国主义教育基地等的规划建设和管理使用，继续推动公共文化设施向社会免费开放，建设基层思想政治工作示范点。”</w:t>
      </w:r>
      <w:r>
        <w:rPr>
          <w:rStyle w:val="9"/>
          <w:rFonts w:hint="default"/>
          <w:sz w:val="24"/>
          <w:szCs w:val="24"/>
          <w:vertAlign w:val="superscript"/>
          <w:lang w:eastAsia="zh-Hans"/>
        </w:rPr>
        <w:t>[</w:t>
      </w:r>
      <w:r>
        <w:rPr>
          <w:rFonts w:hint="default"/>
          <w:sz w:val="24"/>
          <w:szCs w:val="24"/>
          <w:vertAlign w:val="superscript"/>
          <w:lang w:eastAsia="zh-Hans"/>
        </w:rPr>
        <w:t>5]</w:t>
      </w:r>
      <w:r>
        <w:rPr>
          <w:rStyle w:val="9"/>
          <w:rFonts w:hint="eastAsia"/>
          <w:sz w:val="24"/>
          <w:szCs w:val="24"/>
          <w:lang w:val="en-US" w:eastAsia="zh-Hans"/>
        </w:rPr>
        <w:t>充分整合各种平台，构建责任明确、功能互补的大格局宣传平台。</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right="0" w:rightChars="0" w:firstLine="480" w:firstLineChars="200"/>
        <w:jc w:val="both"/>
        <w:textAlignment w:val="auto"/>
        <w:outlineLvl w:val="9"/>
        <w:rPr>
          <w:rStyle w:val="9"/>
          <w:rFonts w:hint="eastAsia"/>
          <w:b/>
          <w:bCs/>
          <w:sz w:val="24"/>
          <w:szCs w:val="24"/>
          <w:lang w:val="en-US"/>
        </w:rPr>
      </w:pPr>
      <w:r>
        <w:rPr>
          <w:rStyle w:val="9"/>
          <w:rFonts w:hint="eastAsia"/>
          <w:b/>
          <w:bCs/>
          <w:sz w:val="24"/>
          <w:szCs w:val="24"/>
          <w:lang w:val="en-US" w:eastAsia="zh-Hans"/>
        </w:rPr>
        <w:t>四、评价维度：</w:t>
      </w:r>
      <w:r>
        <w:rPr>
          <w:rStyle w:val="9"/>
          <w:rFonts w:hint="eastAsia"/>
          <w:b/>
          <w:bCs/>
          <w:sz w:val="24"/>
          <w:szCs w:val="24"/>
          <w:lang w:val="en-US"/>
        </w:rPr>
        <w:t>构建</w:t>
      </w:r>
      <w:r>
        <w:rPr>
          <w:rStyle w:val="9"/>
          <w:rFonts w:hint="eastAsia"/>
          <w:b/>
          <w:bCs/>
          <w:sz w:val="24"/>
          <w:szCs w:val="24"/>
          <w:lang w:val="en-US" w:eastAsia="zh-CN"/>
        </w:rPr>
        <w:t>提升</w:t>
      </w:r>
      <w:r>
        <w:rPr>
          <w:rStyle w:val="9"/>
          <w:rFonts w:hint="eastAsia"/>
          <w:b/>
          <w:bCs/>
          <w:sz w:val="24"/>
          <w:szCs w:val="24"/>
          <w:lang w:val="en-US" w:eastAsia="zh-Hans"/>
        </w:rPr>
        <w:t>“</w:t>
      </w:r>
      <w:r>
        <w:rPr>
          <w:rStyle w:val="9"/>
          <w:rFonts w:hint="eastAsia"/>
          <w:b/>
          <w:bCs/>
          <w:sz w:val="24"/>
          <w:szCs w:val="24"/>
          <w:lang w:val="en-US" w:eastAsia="zh-CN"/>
        </w:rPr>
        <w:t>大格局</w:t>
      </w:r>
      <w:r>
        <w:rPr>
          <w:rStyle w:val="9"/>
          <w:rFonts w:hint="eastAsia"/>
          <w:b/>
          <w:bCs/>
          <w:sz w:val="24"/>
          <w:szCs w:val="24"/>
          <w:lang w:val="en-US" w:eastAsia="zh-Hans"/>
        </w:rPr>
        <w:t>”</w:t>
      </w:r>
      <w:r>
        <w:rPr>
          <w:rStyle w:val="9"/>
          <w:rFonts w:hint="eastAsia"/>
          <w:b/>
          <w:bCs/>
          <w:sz w:val="24"/>
          <w:szCs w:val="24"/>
          <w:lang w:val="en-US" w:eastAsia="zh-CN"/>
        </w:rPr>
        <w:t>效能的</w:t>
      </w:r>
      <w:r>
        <w:rPr>
          <w:rStyle w:val="9"/>
          <w:rFonts w:hint="eastAsia"/>
          <w:b/>
          <w:bCs/>
          <w:sz w:val="24"/>
          <w:szCs w:val="24"/>
          <w:lang w:val="en-US"/>
        </w:rPr>
        <w:t>科学评价考核体系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360" w:firstLineChars="150"/>
        <w:jc w:val="both"/>
        <w:textAlignment w:val="auto"/>
        <w:outlineLvl w:val="9"/>
        <w:rPr>
          <w:rStyle w:val="9"/>
          <w:rFonts w:hint="default"/>
          <w:sz w:val="24"/>
          <w:szCs w:val="24"/>
          <w:lang w:val="en-US" w:eastAsia="zh-Hans"/>
        </w:rPr>
      </w:pPr>
      <w:r>
        <w:rPr>
          <w:rStyle w:val="9"/>
          <w:rFonts w:hint="eastAsia"/>
          <w:sz w:val="24"/>
          <w:szCs w:val="24"/>
          <w:lang w:val="en-US" w:eastAsia="zh-Hans"/>
        </w:rPr>
        <w:t>构建科学合理的考核体系是评价思想政治工作大格局的有效手段，通过</w:t>
      </w:r>
      <w:r>
        <w:rPr>
          <w:rStyle w:val="9"/>
          <w:rFonts w:hint="eastAsia"/>
          <w:sz w:val="24"/>
          <w:szCs w:val="24"/>
          <w:lang w:val="en-US"/>
        </w:rPr>
        <w:t>完善全面评价内容</w:t>
      </w:r>
      <w:r>
        <w:rPr>
          <w:rStyle w:val="9"/>
          <w:rFonts w:hint="eastAsia"/>
          <w:sz w:val="24"/>
          <w:szCs w:val="24"/>
          <w:lang w:val="en-US" w:eastAsia="zh-Hans"/>
        </w:rPr>
        <w:t>、科学设计多样评价方法、合理构建评价指标体系等构建科学的评价考核体系，进而形成“评价</w:t>
      </w:r>
      <w:r>
        <w:rPr>
          <w:rStyle w:val="9"/>
          <w:rFonts w:hint="default"/>
          <w:sz w:val="24"/>
          <w:szCs w:val="24"/>
          <w:lang w:eastAsia="zh-Hans"/>
        </w:rPr>
        <w:t>-</w:t>
      </w:r>
      <w:r>
        <w:rPr>
          <w:rStyle w:val="9"/>
          <w:rFonts w:hint="eastAsia"/>
          <w:sz w:val="24"/>
          <w:szCs w:val="24"/>
          <w:lang w:val="en-US" w:eastAsia="zh-Hans"/>
        </w:rPr>
        <w:t>反馈</w:t>
      </w:r>
      <w:r>
        <w:rPr>
          <w:rStyle w:val="9"/>
          <w:rFonts w:hint="default"/>
          <w:sz w:val="24"/>
          <w:szCs w:val="24"/>
          <w:lang w:eastAsia="zh-Hans"/>
        </w:rPr>
        <w:t>-</w:t>
      </w:r>
      <w:r>
        <w:rPr>
          <w:rStyle w:val="9"/>
          <w:rFonts w:hint="eastAsia"/>
          <w:sz w:val="24"/>
          <w:szCs w:val="24"/>
          <w:lang w:val="en-US" w:eastAsia="zh-Hans"/>
        </w:rPr>
        <w:t>整改”的闭环，推动与提升思想政治工作的水平。</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both"/>
        <w:textAlignment w:val="auto"/>
        <w:outlineLvl w:val="9"/>
        <w:rPr>
          <w:rStyle w:val="9"/>
          <w:rFonts w:hint="eastAsia"/>
          <w:sz w:val="24"/>
          <w:szCs w:val="24"/>
          <w:lang w:val="en-US" w:eastAsia="zh-Hans"/>
        </w:rPr>
      </w:pPr>
      <w:r>
        <w:rPr>
          <w:rStyle w:val="9"/>
          <w:rFonts w:hint="eastAsia"/>
          <w:sz w:val="24"/>
          <w:szCs w:val="24"/>
          <w:lang w:val="en-US"/>
        </w:rPr>
        <w:t>完善全面评价内容</w:t>
      </w:r>
      <w:r>
        <w:rPr>
          <w:rStyle w:val="9"/>
          <w:rFonts w:hint="eastAsia"/>
          <w:sz w:val="24"/>
          <w:szCs w:val="24"/>
          <w:lang w:val="en-US" w:eastAsia="zh-Hans"/>
        </w:rPr>
        <w:t>。思想政治工作对象接受质量、思想政治工作过程、思想政治工作结果、思想政治工作队伍等都是评价的主要内容。首先，思想政治教育对象接受质量方面。思想政治教育对象接受质量是思想政治教育质量的集中体现。</w:t>
      </w:r>
      <w:r>
        <w:rPr>
          <w:rStyle w:val="9"/>
          <w:rFonts w:hint="default"/>
          <w:sz w:val="24"/>
          <w:szCs w:val="24"/>
          <w:vertAlign w:val="superscript"/>
          <w:lang w:eastAsia="zh-Hans"/>
        </w:rPr>
        <w:t>[</w:t>
      </w:r>
      <w:r>
        <w:rPr>
          <w:rFonts w:hint="default"/>
          <w:sz w:val="24"/>
          <w:szCs w:val="24"/>
          <w:vertAlign w:val="superscript"/>
          <w:lang w:eastAsia="zh-Hans"/>
        </w:rPr>
        <w:t>6]</w:t>
      </w:r>
      <w:r>
        <w:rPr>
          <w:rStyle w:val="9"/>
          <w:rFonts w:hint="eastAsia"/>
          <w:sz w:val="24"/>
          <w:szCs w:val="24"/>
          <w:lang w:val="en-US" w:eastAsia="zh-Hans"/>
        </w:rPr>
        <w:t>对象接受质量评价在整个思想政治工作质量评价体系中处于核心地位，主要是对思想政治工作对象理论学习情况及平时思想道德状况的考察，以及对马克思主义立场、观点、方法分析解决问题能力的评价，客观真实反映思想政治工作的情况。应不断加强思想政治工作对象的观察与沟通，及时发现思想动态并对其引导与教育，有效改善与提升思想政治工作效果，进而提升思想政治教育对象接受质量。其次，思想政治工作过程方面。对于思想政治工作过程评价有效克服了传统的“重结果”的评价方式，不断注重思想政治工作对象的价值观、道德观等非智力因素的评价，注重思想政治教育主体与客体的双向沟通，不断关注思想政治工作的发展过程，多角度、全方位地了解思想政治工作，根据评价结果有针对性地对思想政治工作进行调整与优化，推动思想政治工作的创新发展。再次，思想政治工作结果评价方面。思想政治工作结果评价是提升思想政治工作价值导向性的重要依据，是获取思想政治工作信息的过程，也是做出正确决策的过程，思想政治工作的结果评价是创新发展的要求，结果评价主要监测思想政治工作是否以马克思主义为指导、是否牢牢把握住社会主义方向、是否实现了“四个服务”，形成齐抓共管的思想政治工作大格局。最后，思想政治工作队伍方面。思想政治工作队伍是加强与改进思想政治工作的有效保障。思想政治工作队伍包括专兼结合的工作队伍，思想政治工作骨干队伍，兼职工作队伍，志愿者服务工作队伍等。党和国家一直把建设高素质的思想政治工作队伍摆在重中之重，思想政治工作队伍的质量决定着各项工作的开展。应加强与促进思想政治工作队伍的内涵式发展，强化思想政治工作队伍的思想引领意识和大局观，具备政治认同并保证思想政治工作思想引领的正确性。</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both"/>
        <w:textAlignment w:val="auto"/>
        <w:outlineLvl w:val="9"/>
        <w:rPr>
          <w:rStyle w:val="9"/>
          <w:rFonts w:hint="eastAsia"/>
          <w:sz w:val="24"/>
          <w:szCs w:val="24"/>
          <w:lang w:val="en-US" w:eastAsia="zh-Hans"/>
        </w:rPr>
      </w:pPr>
      <w:r>
        <w:rPr>
          <w:rStyle w:val="9"/>
          <w:rFonts w:hint="eastAsia"/>
          <w:sz w:val="24"/>
          <w:szCs w:val="24"/>
          <w:lang w:val="en-US"/>
        </w:rPr>
        <w:t>科学设计多样评价方法</w:t>
      </w:r>
      <w:r>
        <w:rPr>
          <w:rStyle w:val="9"/>
          <w:rFonts w:hint="eastAsia"/>
          <w:sz w:val="24"/>
          <w:szCs w:val="24"/>
          <w:lang w:val="en-US" w:eastAsia="zh-Hans"/>
        </w:rPr>
        <w:t>。目前比较有效的方法主要有定性分析法、定量分析法、模糊综合评估法等。首先，定性分析法是探索性、诊断性、预测性的方法，是在调查研究与总结经验的基础上进行性质分析的方法，主要有动态分析评估法、比较鉴别评估法、民意调查评估法。动态分析评估法是将思想政治工作的社会作用功能放在社会的具体发展过程中进行评估，该方法能够科学的评估思想政治工作的社会效益与功能。比较鉴别评估法就是对思想政治工作的效益进行纵向与横向的比较，进行鉴别取舍。社会民意调查评估法是将组织单位的思想政治工作放在社会大系统的进行评估的方法。其次，定量估算法是对数字进行处理分析的评估的方法，主要有模糊数字评估法与图表法等。模糊数字评估法是借助调查中的数据进行模糊数学评估。图表评估法是将思想政治工作的各项评价指标建立思想政治工作的效益模型并编译成计算机软件进行数学计算，把计算结果绘制成曲线或“量表”。最后，模糊综合评估法是运用模糊数学方法建立数学模型进行科学的定性与定量相结合的评估方法。设计科学合理的指标体系是模糊评价的核心问题，所有数据需来自上级检查、专家评议、抽样调查等方式获得，客观填写调查表并进行加权统计，取得综合评价意见。</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Style w:val="9"/>
          <w:rFonts w:hint="eastAsia"/>
          <w:sz w:val="24"/>
          <w:szCs w:val="24"/>
          <w:lang w:val="en-US" w:eastAsia="zh-Hans"/>
        </w:rPr>
      </w:pPr>
      <w:r>
        <w:rPr>
          <w:rStyle w:val="9"/>
          <w:rFonts w:hint="eastAsia"/>
          <w:sz w:val="24"/>
          <w:szCs w:val="24"/>
          <w:lang w:val="en-US"/>
        </w:rPr>
        <w:t>合理构建评价指标体系</w:t>
      </w:r>
      <w:r>
        <w:rPr>
          <w:rStyle w:val="9"/>
          <w:rFonts w:hint="eastAsia"/>
          <w:sz w:val="24"/>
          <w:szCs w:val="24"/>
          <w:lang w:val="en-US" w:eastAsia="zh-Hans"/>
        </w:rPr>
        <w:t>。科学合理的指标体系是思想政治工作评价内部体系各要素的集中体现，是思想政治工作实际检测并有效反馈的关键。思想政治工作的评价应运用科学的考评标准与量化指标，对思想政治工作的效果、效率进行评价的过程。思想政治工作的的评价指标体系是系列子目标相互作用、相互影响构成的整体系统。例如，思想政治工作一级指标可以设置为思想政治工作过程评价与思想政治工作效果</w:t>
      </w:r>
      <w:r>
        <w:rPr>
          <w:rStyle w:val="9"/>
          <w:rFonts w:hint="default"/>
          <w:sz w:val="24"/>
          <w:szCs w:val="24"/>
          <w:lang w:eastAsia="zh-Hans"/>
        </w:rPr>
        <w:t>评价</w:t>
      </w:r>
      <w:r>
        <w:rPr>
          <w:rStyle w:val="9"/>
          <w:rFonts w:hint="eastAsia"/>
          <w:sz w:val="24"/>
          <w:szCs w:val="24"/>
          <w:lang w:val="en-US" w:eastAsia="zh-Hans"/>
        </w:rPr>
        <w:t>。思想政治工作过程</w:t>
      </w:r>
      <w:r>
        <w:rPr>
          <w:rStyle w:val="9"/>
          <w:rFonts w:hint="default"/>
          <w:sz w:val="24"/>
          <w:szCs w:val="24"/>
          <w:lang w:eastAsia="zh-Hans"/>
        </w:rPr>
        <w:t>评价</w:t>
      </w:r>
      <w:r>
        <w:rPr>
          <w:rStyle w:val="9"/>
          <w:rFonts w:hint="eastAsia"/>
          <w:sz w:val="24"/>
          <w:szCs w:val="24"/>
          <w:lang w:val="en-US" w:eastAsia="zh-Hans"/>
        </w:rPr>
        <w:t>以阶段性为主，包括评价体系的自评、审核、抽查与整改。二级指标设置为思想政治工作的</w:t>
      </w:r>
      <w:r>
        <w:rPr>
          <w:rStyle w:val="9"/>
          <w:rFonts w:hint="default"/>
          <w:sz w:val="24"/>
          <w:szCs w:val="24"/>
          <w:lang w:eastAsia="zh-Hans"/>
        </w:rPr>
        <w:t>评价</w:t>
      </w:r>
      <w:r>
        <w:rPr>
          <w:rStyle w:val="9"/>
          <w:rFonts w:hint="eastAsia"/>
          <w:sz w:val="24"/>
          <w:szCs w:val="24"/>
          <w:lang w:val="en-US" w:eastAsia="zh-Hans"/>
        </w:rPr>
        <w:t>、思想政治管理工作的</w:t>
      </w:r>
      <w:r>
        <w:rPr>
          <w:rStyle w:val="9"/>
          <w:rFonts w:hint="default"/>
          <w:sz w:val="24"/>
          <w:szCs w:val="24"/>
          <w:lang w:eastAsia="zh-Hans"/>
        </w:rPr>
        <w:t>评价</w:t>
      </w:r>
      <w:r>
        <w:rPr>
          <w:rStyle w:val="9"/>
          <w:rFonts w:hint="eastAsia"/>
          <w:sz w:val="24"/>
          <w:szCs w:val="24"/>
          <w:lang w:val="en-US" w:eastAsia="zh-Hans"/>
        </w:rPr>
        <w:t>及思想政治工作实施过程的</w:t>
      </w:r>
      <w:r>
        <w:rPr>
          <w:rStyle w:val="9"/>
          <w:rFonts w:hint="default"/>
          <w:sz w:val="24"/>
          <w:szCs w:val="24"/>
          <w:lang w:eastAsia="zh-Hans"/>
        </w:rPr>
        <w:t>评价</w:t>
      </w:r>
      <w:r>
        <w:rPr>
          <w:rStyle w:val="9"/>
          <w:rFonts w:hint="eastAsia"/>
          <w:sz w:val="24"/>
          <w:szCs w:val="24"/>
          <w:lang w:val="en-US" w:eastAsia="zh-Hans"/>
        </w:rPr>
        <w:t>。三级思想政治工作的评价指标设置为单项评价、总体评价；思想政治管理工作的评价指标设置为思政工作主观部门的评价和思政工作队伍的评价，思政工作实施过程的评价指标设置为工作计划的系统性、工作程序的科学性、工作方法的创造性等。总之，思想政治工作评价指标的设置是一项系统工程，为了实现思想政治工作的预定目标，应在备选方案或拟定方案中进行评价，最终对评价指标知否可行、是否达到预想效果进行可行性分析，检测思想政治工作评价指标体系设置的合理性，最终形成以质量提升为主线、以闭环为特征的思想政治工作指标体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Style w:val="9"/>
          <w:rFonts w:hint="eastAsia"/>
          <w:sz w:val="24"/>
          <w:szCs w:val="24"/>
          <w:lang w:val="en-US" w:eastAsia="zh-Hans"/>
        </w:rPr>
      </w:pPr>
      <w:r>
        <w:rPr>
          <w:rStyle w:val="9"/>
          <w:rFonts w:hint="eastAsia"/>
          <w:sz w:val="24"/>
          <w:szCs w:val="24"/>
          <w:lang w:val="en-US" w:eastAsia="zh-Hans"/>
        </w:rPr>
        <w:t>综上，思想政治工作事关党的前途命运与国家的长治久安，构建新时代思想政治工作大格局是对思想政治工作新局势和新态势的总体把握，应调动各种因素，加强政治引领，在领导体制机制、工作队伍、文化设施平台、评价考核体系四个维度下功夫，多措并举、协同发力。同时，构建思想政治工作大格局是一项长效工作，需顺应时代变化，打破各部门的壁垒，进行资源与平台的共建共享，有层次、分步骤地推进思想政治工作。</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Style w:val="9"/>
          <w:rFonts w:hint="eastAsia"/>
          <w:sz w:val="24"/>
          <w:szCs w:val="24"/>
          <w:lang w:val="en-US" w:eastAsia="zh-Hans"/>
        </w:rPr>
      </w:pPr>
    </w:p>
    <w:p>
      <w:pPr>
        <w:keepNext w:val="0"/>
        <w:keepLines w:val="0"/>
        <w:pageBreakBefore w:val="0"/>
        <w:widowControl w:val="0"/>
        <w:kinsoku/>
        <w:wordWrap/>
        <w:overflowPunct/>
        <w:topLinePunct w:val="0"/>
        <w:autoSpaceDE/>
        <w:autoSpaceDN/>
        <w:bidi w:val="0"/>
        <w:adjustRightInd/>
        <w:snapToGrid/>
        <w:spacing w:line="400" w:lineRule="exact"/>
        <w:ind w:right="0" w:rightChars="0"/>
        <w:jc w:val="both"/>
        <w:textAlignment w:val="auto"/>
        <w:outlineLvl w:val="9"/>
        <w:rPr>
          <w:rStyle w:val="9"/>
          <w:rFonts w:hint="eastAsia" w:ascii="微软雅黑" w:hAnsi="微软雅黑" w:eastAsia="微软雅黑" w:cs="微软雅黑"/>
          <w:b/>
          <w:bCs/>
          <w:sz w:val="24"/>
          <w:szCs w:val="24"/>
          <w:lang w:val="en-US" w:eastAsia="zh-Hans"/>
        </w:rPr>
      </w:pPr>
      <w:r>
        <w:rPr>
          <w:rStyle w:val="9"/>
          <w:rFonts w:hint="eastAsia" w:ascii="微软雅黑" w:hAnsi="微软雅黑" w:eastAsia="微软雅黑" w:cs="微软雅黑"/>
          <w:b/>
          <w:bCs/>
          <w:sz w:val="24"/>
          <w:szCs w:val="24"/>
          <w:lang w:val="en-US" w:eastAsia="zh-Hans"/>
        </w:rPr>
        <w:t>参考文献：</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Style w:val="9"/>
          <w:rFonts w:hint="eastAsia"/>
          <w:sz w:val="21"/>
          <w:szCs w:val="21"/>
          <w:lang w:val="en-US" w:eastAsia="zh-Hans"/>
        </w:rPr>
      </w:pPr>
      <w:r>
        <w:rPr>
          <w:rStyle w:val="9"/>
          <w:rFonts w:hint="eastAsia"/>
          <w:sz w:val="21"/>
          <w:szCs w:val="21"/>
          <w:lang w:val="en-US" w:eastAsia="zh-Hans"/>
        </w:rPr>
        <w:t>[1]《列宁选集》第4卷，人民出版社1995年版，第423页。</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Style w:val="9"/>
          <w:rFonts w:hint="eastAsia"/>
          <w:sz w:val="21"/>
          <w:szCs w:val="21"/>
          <w:lang w:val="en-US" w:eastAsia="zh-Hans"/>
        </w:rPr>
      </w:pPr>
      <w:r>
        <w:rPr>
          <w:rStyle w:val="9"/>
          <w:rFonts w:hint="eastAsia"/>
          <w:sz w:val="21"/>
          <w:szCs w:val="21"/>
          <w:lang w:val="en-US" w:eastAsia="zh-Hans"/>
        </w:rPr>
        <w:t xml:space="preserve">[2]《毛泽东文集》第6卷，人民出版社1999年版，第368页。 </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Style w:val="9"/>
          <w:rFonts w:hint="eastAsia"/>
          <w:sz w:val="21"/>
          <w:szCs w:val="21"/>
          <w:lang w:val="en-US" w:eastAsia="zh-Hans"/>
        </w:rPr>
      </w:pPr>
      <w:r>
        <w:rPr>
          <w:rStyle w:val="9"/>
          <w:rFonts w:hint="eastAsia"/>
          <w:sz w:val="21"/>
          <w:szCs w:val="21"/>
          <w:lang w:val="en-US" w:eastAsia="zh-Hans"/>
        </w:rPr>
        <w:t xml:space="preserve">[3]《毛泽东文集》第8卷，人民出版社1999年版，第319页。 </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Style w:val="9"/>
          <w:rFonts w:hint="eastAsia"/>
          <w:sz w:val="21"/>
          <w:szCs w:val="21"/>
          <w:lang w:val="en-US" w:eastAsia="zh-Hans"/>
        </w:rPr>
      </w:pPr>
      <w:r>
        <w:rPr>
          <w:rStyle w:val="9"/>
          <w:rFonts w:hint="eastAsia"/>
          <w:sz w:val="21"/>
          <w:szCs w:val="21"/>
          <w:lang w:val="en-US" w:eastAsia="zh-Hans"/>
        </w:rPr>
        <w:t>[4]《中共中央关于党的百年奋斗重大成就和历史经验的决议》，人民日报，2021-11-17。</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Style w:val="9"/>
          <w:rFonts w:hint="eastAsia"/>
          <w:sz w:val="21"/>
          <w:szCs w:val="21"/>
          <w:lang w:val="en-US" w:eastAsia="zh-Hans"/>
        </w:rPr>
      </w:pPr>
      <w:r>
        <w:rPr>
          <w:rStyle w:val="9"/>
          <w:rFonts w:hint="eastAsia"/>
          <w:sz w:val="21"/>
          <w:szCs w:val="21"/>
          <w:lang w:val="en-US" w:eastAsia="zh-Hans"/>
        </w:rPr>
        <w:t>[5] 中共中央 国务院印发《关于新时代加强和改进思想政治工作的意见》 ，人民日报，2021-7-13。</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Style w:val="9"/>
          <w:rFonts w:hint="eastAsia"/>
          <w:sz w:val="21"/>
          <w:szCs w:val="21"/>
          <w:lang w:val="en-US" w:eastAsia="zh-Hans"/>
        </w:rPr>
      </w:pPr>
      <w:r>
        <w:rPr>
          <w:rStyle w:val="9"/>
          <w:rFonts w:hint="eastAsia"/>
          <w:sz w:val="21"/>
          <w:szCs w:val="21"/>
          <w:lang w:val="en-US" w:eastAsia="zh-Hans"/>
        </w:rPr>
        <w:t>[6] 冯刚:《高校思想政治教育工作质量评价研究》，人民出版社2021年版，第68页。</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Style w:val="9"/>
          <w:rFonts w:hint="eastAsia"/>
          <w:sz w:val="21"/>
          <w:szCs w:val="21"/>
          <w:lang w:val="en-US" w:eastAsia="zh-Hans"/>
        </w:rPr>
      </w:pPr>
    </w:p>
    <w:p>
      <w:pPr>
        <w:keepNext w:val="0"/>
        <w:keepLines w:val="0"/>
        <w:pageBreakBefore w:val="0"/>
        <w:widowControl w:val="0"/>
        <w:kinsoku/>
        <w:wordWrap/>
        <w:overflowPunct/>
        <w:topLinePunct w:val="0"/>
        <w:autoSpaceDE/>
        <w:autoSpaceDN/>
        <w:bidi w:val="0"/>
        <w:adjustRightInd/>
        <w:snapToGrid/>
        <w:spacing w:line="400" w:lineRule="exact"/>
        <w:ind w:right="0" w:rightChars="0"/>
        <w:jc w:val="both"/>
        <w:textAlignment w:val="auto"/>
        <w:outlineLvl w:val="9"/>
        <w:rPr>
          <w:rStyle w:val="9"/>
          <w:rFonts w:hint="eastAsia" w:ascii="华文楷体" w:hAnsi="华文楷体" w:eastAsia="华文楷体" w:cs="华文楷体"/>
          <w:sz w:val="24"/>
          <w:szCs w:val="24"/>
          <w:lang w:val="en-US" w:eastAsia="zh-Hans"/>
        </w:rPr>
      </w:pPr>
    </w:p>
    <w:p>
      <w:pPr>
        <w:keepNext w:val="0"/>
        <w:keepLines w:val="0"/>
        <w:pageBreakBefore w:val="0"/>
        <w:widowControl w:val="0"/>
        <w:kinsoku/>
        <w:wordWrap/>
        <w:overflowPunct/>
        <w:topLinePunct w:val="0"/>
        <w:autoSpaceDE/>
        <w:autoSpaceDN/>
        <w:bidi w:val="0"/>
        <w:adjustRightInd/>
        <w:snapToGrid/>
        <w:spacing w:line="400" w:lineRule="exact"/>
        <w:ind w:right="0" w:rightChars="0"/>
        <w:jc w:val="both"/>
        <w:textAlignment w:val="auto"/>
        <w:outlineLvl w:val="9"/>
        <w:rPr>
          <w:rStyle w:val="9"/>
          <w:rFonts w:hint="eastAsia"/>
          <w:sz w:val="24"/>
          <w:szCs w:val="24"/>
          <w:lang w:val="en-US" w:eastAsia="zh-Hans"/>
        </w:rPr>
      </w:pPr>
      <w:r>
        <w:rPr>
          <w:rStyle w:val="9"/>
          <w:rFonts w:hint="eastAsia"/>
          <w:sz w:val="24"/>
          <w:szCs w:val="24"/>
          <w:lang w:val="en-US" w:eastAsia="zh-Hans"/>
        </w:rPr>
        <w:t>（作者信息：高会燕，西北工业大学马克思主义学院博士研究生，研究方向：思想政治教育。联系地址：陕西省西安市长安区东祥路</w:t>
      </w:r>
      <w:r>
        <w:rPr>
          <w:rStyle w:val="9"/>
          <w:rFonts w:hint="default"/>
          <w:sz w:val="24"/>
          <w:szCs w:val="24"/>
          <w:lang w:eastAsia="zh-Hans"/>
        </w:rPr>
        <w:t>1</w:t>
      </w:r>
      <w:r>
        <w:rPr>
          <w:rStyle w:val="9"/>
          <w:rFonts w:hint="eastAsia"/>
          <w:sz w:val="24"/>
          <w:szCs w:val="24"/>
          <w:lang w:val="en-US" w:eastAsia="zh-Hans"/>
        </w:rPr>
        <w:t>号，邮编：</w:t>
      </w:r>
      <w:r>
        <w:rPr>
          <w:rStyle w:val="9"/>
          <w:rFonts w:hint="default"/>
          <w:sz w:val="24"/>
          <w:szCs w:val="24"/>
          <w:lang w:eastAsia="zh-Hans"/>
        </w:rPr>
        <w:t>710129</w:t>
      </w:r>
      <w:r>
        <w:rPr>
          <w:rStyle w:val="9"/>
          <w:rFonts w:hint="eastAsia"/>
          <w:sz w:val="24"/>
          <w:szCs w:val="24"/>
          <w:lang w:eastAsia="zh-Hans"/>
        </w:rPr>
        <w:t>。</w:t>
      </w:r>
      <w:r>
        <w:rPr>
          <w:rStyle w:val="9"/>
          <w:rFonts w:hint="eastAsia"/>
          <w:sz w:val="24"/>
          <w:szCs w:val="24"/>
          <w:lang w:val="en-US" w:eastAsia="zh-Hans"/>
        </w:rPr>
        <w:t>联系电话：</w:t>
      </w:r>
      <w:r>
        <w:rPr>
          <w:rStyle w:val="9"/>
          <w:rFonts w:hint="default"/>
          <w:sz w:val="24"/>
          <w:szCs w:val="24"/>
          <w:lang w:eastAsia="zh-Hans"/>
        </w:rPr>
        <w:t>18202946869</w:t>
      </w:r>
      <w:r>
        <w:rPr>
          <w:rStyle w:val="9"/>
          <w:rFonts w:hint="eastAsia"/>
          <w:sz w:val="24"/>
          <w:szCs w:val="24"/>
          <w:lang w:val="en-US" w:eastAsia="zh-Hans"/>
        </w:rPr>
        <w:t>）</w:t>
      </w:r>
    </w:p>
    <w:sectPr>
      <w:footerReference r:id="rId4" w:type="default"/>
      <w:footnotePr>
        <w:numFmt w:val="decimal"/>
      </w:footnote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Verdana">
    <w:panose1 w:val="020B0604030504040204"/>
    <w:charset w:val="00"/>
    <w:family w:val="auto"/>
    <w:pitch w:val="default"/>
    <w:sig w:usb0="A10006FF" w:usb1="4000205B" w:usb2="00000010" w:usb3="00000000" w:csb0="2000019F"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 w:name="arial">
    <w:panose1 w:val="020B0704020202020204"/>
    <w:charset w:val="00"/>
    <w:family w:val="auto"/>
    <w:pitch w:val="default"/>
    <w:sig w:usb0="E0002AFF" w:usb1="C0007843" w:usb2="00000009" w:usb3="00000000" w:csb0="400001FF" w:csb1="FFFF0000"/>
  </w:font>
  <w:font w:name="Zapfino">
    <w:panose1 w:val="03030300040707070C03"/>
    <w:charset w:val="00"/>
    <w:family w:val="auto"/>
    <w:pitch w:val="default"/>
    <w:sig w:usb0="80000067" w:usb1="40000041" w:usb2="00000000" w:usb3="00000000" w:csb0="20000093" w:csb1="00000000"/>
  </w:font>
  <w:font w:name="Songti SC Regular">
    <w:panose1 w:val="02010800040101010101"/>
    <w:charset w:val="86"/>
    <w:family w:val="auto"/>
    <w:pitch w:val="default"/>
    <w:sig w:usb0="00000001" w:usb1="080F0000" w:usb2="00000000" w:usb3="00000000" w:csb0="00040000" w:csb1="00000000"/>
  </w:font>
  <w:font w:name="Songti TC Regular">
    <w:panose1 w:val="02010600040101010101"/>
    <w:charset w:val="86"/>
    <w:family w:val="auto"/>
    <w:pitch w:val="default"/>
    <w:sig w:usb0="00000287" w:usb1="080F0000" w:usb2="00000000" w:usb3="00000000" w:csb0="0004009F" w:csb1="DFD70000"/>
  </w:font>
  <w:font w:name="微软雅黑">
    <w:altName w:val="汉仪旗黑"/>
    <w:panose1 w:val="00000000000000000000"/>
    <w:charset w:val="00"/>
    <w:family w:val="auto"/>
    <w:pitch w:val="default"/>
    <w:sig w:usb0="00000000" w:usb1="00000000" w:usb2="00000000" w:usb3="00000000" w:csb0="00000000" w:csb1="00000000"/>
  </w:font>
  <w:font w:name="汉仪旗黑">
    <w:panose1 w:val="00020600040101010101"/>
    <w:charset w:val="86"/>
    <w:family w:val="auto"/>
    <w:pitch w:val="default"/>
    <w:sig w:usb0="A00002BF" w:usb1="1ACF7CFA" w:usb2="00000016" w:usb3="00000000" w:csb0="0004009F" w:csb1="DFD70000"/>
  </w:font>
  <w:font w:name="宋体-简">
    <w:panose1 w:val="02010800040101010101"/>
    <w:charset w:val="86"/>
    <w:family w:val="auto"/>
    <w:pitch w:val="default"/>
    <w:sig w:usb0="00000001" w:usb1="080F0000" w:usb2="00000000" w:usb3="00000000" w:csb0="00040000" w:csb1="00000000"/>
  </w:font>
  <w:font w:name="FZFSJW--GB1-0">
    <w:altName w:val="苹方-简"/>
    <w:panose1 w:val="00000000000000000000"/>
    <w:charset w:val="00"/>
    <w:family w:val="auto"/>
    <w:pitch w:val="default"/>
    <w:sig w:usb0="00000000" w:usb1="00000000" w:usb2="00000000" w:usb3="00000000" w:csb0="00000000" w:csb1="00000000"/>
  </w:font>
  <w:font w:name="NEU-BZ-Regular">
    <w:altName w:val="苹方-简"/>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00000000" w:usb1="00000000"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微软雅黑">
    <w:altName w:val="汉仪旗黑"/>
    <w:panose1 w:val="020B0503020204020204"/>
    <w:charset w:val="86"/>
    <w:family w:val="swiss"/>
    <w:pitch w:val="default"/>
    <w:sig w:usb0="00000000" w:usb1="00000000" w:usb2="00000016" w:usb3="00000000" w:csb0="0004001F" w:csb1="00000000"/>
  </w:font>
  <w:font w:name="pingfang sc">
    <w:panose1 w:val="020B0400000000000000"/>
    <w:charset w:val="86"/>
    <w:family w:val="auto"/>
    <w:pitch w:val="default"/>
    <w:sig w:usb0="A00002FF" w:usb1="7ACFFDFB" w:usb2="00000017" w:usb3="00000000" w:csb0="00040001" w:csb1="00000000"/>
  </w:font>
  <w:font w:name="Yuanti SC Regular">
    <w:altName w:val="华文宋体"/>
    <w:panose1 w:val="02010600040101010101"/>
    <w:charset w:val="86"/>
    <w:family w:val="auto"/>
    <w:pitch w:val="default"/>
    <w:sig w:usb0="00000000" w:usb1="00000000" w:usb2="00000016" w:usb3="00000000" w:csb0="0004001F" w:csb1="00000000"/>
  </w:font>
  <w:font w:name="Sukhumvit Set Text">
    <w:panose1 w:val="02000506000000020004"/>
    <w:charset w:val="00"/>
    <w:family w:val="auto"/>
    <w:pitch w:val="default"/>
    <w:sig w:usb0="8100002F" w:usb1="5000004A" w:usb2="00000000" w:usb3="00000000" w:csb0="20010003" w:csb1="00000000"/>
  </w:font>
  <w:font w:name="Songti SC Bold">
    <w:panose1 w:val="02010800040101010101"/>
    <w:charset w:val="86"/>
    <w:family w:val="auto"/>
    <w:pitch w:val="default"/>
    <w:sig w:usb0="00000001" w:usb1="080F0000" w:usb2="00000000" w:usb3="00000000" w:csb0="00040000" w:csb1="00000000"/>
  </w:font>
  <w:font w:name="DengXian-Regular">
    <w:altName w:val="苹方-简"/>
    <w:panose1 w:val="00000000000000000000"/>
    <w:charset w:val="00"/>
    <w:family w:val="auto"/>
    <w:pitch w:val="default"/>
    <w:sig w:usb0="00000000" w:usb1="00000000" w:usb2="00000000" w:usb3="00000000" w:csb0="00000000" w:csb1="00000000"/>
  </w:font>
  <w:font w:name="DengXian-Bold">
    <w:altName w:val="苹方-简"/>
    <w:panose1 w:val="00000000000000000000"/>
    <w:charset w:val="00"/>
    <w:family w:val="auto"/>
    <w:pitch w:val="default"/>
    <w:sig w:usb0="00000000" w:usb1="00000000" w:usb2="00000000" w:usb3="00000000" w:csb0="0000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 w:name="FZSSK--GBK1-0">
    <w:panose1 w:val="02000000000000000000"/>
    <w:charset w:val="86"/>
    <w:family w:val="auto"/>
    <w:pitch w:val="default"/>
    <w:sig w:usb0="A00002BF" w:usb1="38CF7CFA" w:usb2="00082016" w:usb3="00000000" w:csb0="00040001" w:csb1="00000000"/>
  </w:font>
  <w:font w:name="华文宋体">
    <w:panose1 w:val="02010600040101010101"/>
    <w:charset w:val="86"/>
    <w:family w:val="auto"/>
    <w:pitch w:val="default"/>
    <w:sig w:usb0="80000287" w:usb1="280F3C52" w:usb2="00000016" w:usb3="00000000" w:csb0="0004001F" w:csb1="00000000"/>
  </w:font>
  <w:font w:name="Hiragino Sans GB W3">
    <w:panose1 w:val="020B0300000000000000"/>
    <w:charset w:val="86"/>
    <w:family w:val="auto"/>
    <w:pitch w:val="default"/>
    <w:sig w:usb0="A00002BF" w:usb1="1ACF7CFA" w:usb2="00000016" w:usb3="00000000" w:csb0="00060007" w:csb1="00000000"/>
  </w:font>
  <w:font w:name="Malayalam Sangam MN Regular">
    <w:panose1 w:val="00000500000000000000"/>
    <w:charset w:val="00"/>
    <w:family w:val="auto"/>
    <w:pitch w:val="default"/>
    <w:sig w:usb0="00800001" w:usb1="00000000" w:usb2="00000000" w:usb3="00000000" w:csb0="00000001" w:csb1="00000000"/>
  </w:font>
  <w:font w:name="Lucida Grande Regular">
    <w:panose1 w:val="020B0600040502020204"/>
    <w:charset w:val="00"/>
    <w:family w:val="auto"/>
    <w:pitch w:val="default"/>
    <w:sig w:usb0="E1000AEF" w:usb1="5000A1FF" w:usb2="00000000" w:usb3="00000000" w:csb0="200001BF" w:csb1="4F010000"/>
  </w:font>
  <w:font w:name="Microsoft yahei">
    <w:altName w:val="苹方-简"/>
    <w:panose1 w:val="00000000000000000000"/>
    <w:charset w:val="00"/>
    <w:family w:val="auto"/>
    <w:pitch w:val="default"/>
    <w:sig w:usb0="00000000" w:usb1="00000000" w:usb2="00000000" w:usb3="00000000" w:csb0="00000000" w:csb1="00000000"/>
  </w:font>
  <w:font w:name="E-BZ">
    <w:altName w:val="苹方-简"/>
    <w:panose1 w:val="00000000000000000000"/>
    <w:charset w:val="00"/>
    <w:family w:val="auto"/>
    <w:pitch w:val="default"/>
    <w:sig w:usb0="00000000" w:usb1="00000000" w:usb2="00000000" w:usb3="00000000" w:csb0="00000000" w:csb1="00000000"/>
  </w:font>
  <w:font w:name="hiragino sans gb">
    <w:panose1 w:val="020B0300000000000000"/>
    <w:charset w:val="86"/>
    <w:family w:val="auto"/>
    <w:pitch w:val="default"/>
    <w:sig w:usb0="A00002BF" w:usb1="1ACF7CFA" w:usb2="00000016" w:usb3="00000000" w:csb0="00060007" w:csb1="00000000"/>
  </w:font>
  <w:font w:name="STZhongsong">
    <w:altName w:val="苹方-简"/>
    <w:panose1 w:val="00000000000000000000"/>
    <w:charset w:val="00"/>
    <w:family w:val="roman"/>
    <w:pitch w:val="default"/>
    <w:sig w:usb0="00000000" w:usb1="00000000" w:usb2="00000000" w:usb3="00000000" w:csb0="00000000" w:csb1="00000000"/>
  </w:font>
  <w:font w:name="方正小标宋简体">
    <w:altName w:val="汉仪书宋二KW"/>
    <w:panose1 w:val="03000509000000000000"/>
    <w:charset w:val="86"/>
    <w:family w:val="script"/>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HYe3gj">
    <w:altName w:val="苹方-简"/>
    <w:panose1 w:val="00000000000000000000"/>
    <w:charset w:val="00"/>
    <w:family w:val="auto"/>
    <w:pitch w:val="default"/>
    <w:sig w:usb0="00000000" w:usb1="00000000" w:usb2="00000000" w:usb3="00000000" w:csb0="00000000" w:csb1="00000000"/>
  </w:font>
  <w:font w:name="KTJ">
    <w:altName w:val="苹方-简"/>
    <w:panose1 w:val="00000000000000000000"/>
    <w:charset w:val="00"/>
    <w:family w:val="auto"/>
    <w:pitch w:val="default"/>
    <w:sig w:usb0="00000000" w:usb1="00000000" w:usb2="00000000" w:usb3="00000000" w:csb0="00000000" w:csb1="00000000"/>
  </w:font>
  <w:font w:name="FZLTHJW--GB1-0">
    <w:altName w:val="苹方-简"/>
    <w:panose1 w:val="00000000000000000000"/>
    <w:charset w:val="00"/>
    <w:family w:val="auto"/>
    <w:pitch w:val="default"/>
    <w:sig w:usb0="00000000" w:usb1="00000000" w:usb2="00000000" w:usb3="00000000" w:csb0="00000000" w:csb1="00000000"/>
  </w:font>
  <w:font w:name="songti sc">
    <w:panose1 w:val="02010800040101010101"/>
    <w:charset w:val="86"/>
    <w:family w:val="auto"/>
    <w:pitch w:val="default"/>
    <w:sig w:usb0="00000001" w:usb1="080F0000" w:usb2="00000000" w:usb3="00000000" w:csb0="00040000" w:csb1="00000000"/>
  </w:font>
  <w:font w:name="TimesNewRomanPSMT">
    <w:panose1 w:val="02020803070505020304"/>
    <w:charset w:val="00"/>
    <w:family w:val="auto"/>
    <w:pitch w:val="default"/>
    <w:sig w:usb0="E0002AEF" w:usb1="C0007841" w:usb2="00000009" w:usb3="00000000" w:csb0="400001FF" w:csb1="FFFF0000"/>
  </w:font>
  <w:font w:name="等线 Light">
    <w:altName w:val="汉仪中等线KW"/>
    <w:panose1 w:val="02010600030101010101"/>
    <w:charset w:val="00"/>
    <w:family w:val="auto"/>
    <w:pitch w:val="default"/>
    <w:sig w:usb0="00000000" w:usb1="00000000" w:usb2="00000016" w:usb3="00000000" w:csb0="0004000F" w:csb1="00000000"/>
  </w:font>
  <w:font w:name="楷体_GB2312">
    <w:altName w:val="汉仪楷体简"/>
    <w:panose1 w:val="02010609030101010101"/>
    <w:charset w:val="00"/>
    <w:family w:val="modern"/>
    <w:pitch w:val="default"/>
    <w:sig w:usb0="00000000" w:usb1="00000000" w:usb2="00000000" w:usb3="00000000" w:csb0="00040000" w:csb1="00000000"/>
  </w:font>
  <w:font w:name="黑体">
    <w:altName w:val="汉仪中黑KW"/>
    <w:panose1 w:val="02010609060101010101"/>
    <w:charset w:val="00"/>
    <w:family w:val="modern"/>
    <w:pitch w:val="default"/>
    <w:sig w:usb0="00000000" w:usb1="00000000" w:usb2="00000016" w:usb3="00000000" w:csb0="00040001" w:csb1="00000000"/>
  </w:font>
  <w:font w:name="Wingdings 2">
    <w:panose1 w:val="05020102010507070707"/>
    <w:charset w:val="00"/>
    <w:family w:val="roman"/>
    <w:pitch w:val="default"/>
    <w:sig w:usb0="00000000" w:usb1="00000000" w:usb2="00000000" w:usb3="00000000" w:csb0="80000000" w:csb1="00000000"/>
  </w:font>
  <w:font w:name="华文中宋">
    <w:altName w:val="苹方-简"/>
    <w:panose1 w:val="02010600040101010101"/>
    <w:charset w:val="00"/>
    <w:family w:val="auto"/>
    <w:pitch w:val="default"/>
    <w:sig w:usb0="00000000" w:usb1="00000000" w:usb2="00000010" w:usb3="00000000" w:csb0="0004009F" w:csb1="00000000"/>
  </w:font>
  <w:font w:name="楷体">
    <w:altName w:val="汉仪楷体KW"/>
    <w:panose1 w:val="02010609060101010101"/>
    <w:charset w:val="00"/>
    <w:family w:val="modern"/>
    <w:pitch w:val="default"/>
    <w:sig w:usb0="00000000" w:usb1="00000000" w:usb2="00000016" w:usb3="00000000" w:csb0="00040001" w:csb1="00000000"/>
  </w:font>
  <w:font w:name="汉仪楷体简">
    <w:panose1 w:val="02010600000101010101"/>
    <w:charset w:val="86"/>
    <w:family w:val="auto"/>
    <w:pitch w:val="default"/>
    <w:sig w:usb0="00000001" w:usb1="080E0800" w:usb2="00000002" w:usb3="00000000" w:csb0="00040000" w:csb1="00000000"/>
  </w:font>
  <w:font w:name="汉仪楷体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 w:name="DY1">
    <w:altName w:val="苹方-简"/>
    <w:panose1 w:val="00000000000000000000"/>
    <w:charset w:val="00"/>
    <w:family w:val="auto"/>
    <w:pitch w:val="default"/>
    <w:sig w:usb0="00000000" w:usb1="00000000" w:usb2="00000000" w:usb3="00000000" w:csb0="00000000" w:csb1="00000000"/>
  </w:font>
  <w:font w:name="DY87">
    <w:altName w:val="苹方-简"/>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SJ0">
    <w:altName w:val="苹方-简"/>
    <w:panose1 w:val="00000000000000000000"/>
    <w:charset w:val="00"/>
    <w:family w:val="auto"/>
    <w:pitch w:val="default"/>
    <w:sig w:usb0="00000000" w:usb1="00000000" w:usb2="00000000" w:usb3="00000000" w:csb0="00000000" w:csb1="00000000"/>
  </w:font>
  <w:font w:name="等线">
    <w:altName w:val="汉仪中等线KW"/>
    <w:panose1 w:val="02010600030101010101"/>
    <w:charset w:val="00"/>
    <w:family w:val="auto"/>
    <w:pitch w:val="default"/>
    <w:sig w:usb0="00000000" w:usb1="00000000" w:usb2="00000016" w:usb3="00000000" w:csb0="0004000F" w:csb1="00000000"/>
  </w:font>
  <w:font w:name="Times New Roman Regular">
    <w:panose1 w:val="02020803070505020304"/>
    <w:charset w:val="00"/>
    <w:family w:val="auto"/>
    <w:pitch w:val="default"/>
    <w:sig w:usb0="E0002AEF" w:usb1="C0007841" w:usb2="00000009" w:usb3="00000000" w:csb0="400001FF" w:csb1="FFFF0000"/>
  </w:font>
  <w:font w:name="楷体">
    <w:altName w:val="汉仪楷体KW"/>
    <w:panose1 w:val="02010609060101010101"/>
    <w:charset w:val="86"/>
    <w:family w:val="modern"/>
    <w:pitch w:val="default"/>
    <w:sig w:usb0="00000000" w:usb1="00000000" w:usb2="00000016" w:usb3="00000000" w:csb0="00040001" w:csb1="00000000"/>
  </w:font>
  <w:font w:name="Calibri Light">
    <w:altName w:val="Helvetica Neue"/>
    <w:panose1 w:val="020F0302020204030204"/>
    <w:charset w:val="00"/>
    <w:family w:val="swiss"/>
    <w:pitch w:val="default"/>
    <w:sig w:usb0="00000000" w:usb1="00000000" w:usb2="00000009" w:usb3="00000000" w:csb0="000001FF" w:csb1="00000000"/>
  </w:font>
  <w:font w:name="FSJ0">
    <w:altName w:val="苹方-简"/>
    <w:panose1 w:val="00000000000000000000"/>
    <w:charset w:val="00"/>
    <w:family w:val="auto"/>
    <w:pitch w:val="default"/>
    <w:sig w:usb0="00000000" w:usb1="00000000" w:usb2="00000000" w:usb3="00000000" w:csb0="00000000" w:csb1="00000000"/>
  </w:font>
  <w:font w:name="FZKTJW--GB1-0">
    <w:altName w:val="苹方-简"/>
    <w:panose1 w:val="00000000000000000000"/>
    <w:charset w:val="00"/>
    <w:family w:val="auto"/>
    <w:pitch w:val="default"/>
    <w:sig w:usb0="00000000" w:usb1="00000000" w:usb2="00000000" w:usb3="00000000" w:csb0="00000000" w:csb1="00000000"/>
  </w:font>
  <w:font w:name="FZShuSong-Z01">
    <w:panose1 w:val="02000000000000000000"/>
    <w:charset w:val="86"/>
    <w:family w:val="auto"/>
    <w:pitch w:val="default"/>
    <w:sig w:usb0="A00002BF" w:usb1="38CF7CFA" w:usb2="00082016" w:usb3="00000000" w:csb0="00040001" w:csb1="00000000"/>
  </w:font>
  <w:font w:name="EU-BZ">
    <w:altName w:val="苹方-简"/>
    <w:panose1 w:val="00000000000000000000"/>
    <w:charset w:val="00"/>
    <w:family w:val="auto"/>
    <w:pitch w:val="default"/>
    <w:sig w:usb0="00000000" w:usb1="00000000" w:usb2="00000000" w:usb3="00000000" w:csb0="00000000" w:csb1="00000000"/>
  </w:font>
  <w:font w:name="HYShuSongErKW">
    <w:panose1 w:val="00020600040101010101"/>
    <w:charset w:val="86"/>
    <w:family w:val="auto"/>
    <w:pitch w:val="default"/>
    <w:sig w:usb0="A00002BF" w:usb1="18EF7CFA" w:usb2="00000016" w:usb3="00000000" w:csb0="00040000" w:csb1="00000000"/>
  </w:font>
  <w:font w:name="HYZhongHeiKW">
    <w:panose1 w:val="00020600040101010101"/>
    <w:charset w:val="86"/>
    <w:family w:val="auto"/>
    <w:pitch w:val="default"/>
    <w:sig w:usb0="A00002BF" w:usb1="18EF7CFA" w:usb2="00000016" w:usb3="00000000" w:csb0="00040000" w:csb1="00000000"/>
  </w:font>
  <w:font w:name="FZXBSK--GBK1-00">
    <w:altName w:val="苹方-简"/>
    <w:panose1 w:val="00000000000000000000"/>
    <w:charset w:val="00"/>
    <w:family w:val="auto"/>
    <w:pitch w:val="default"/>
    <w:sig w:usb0="00000000" w:usb1="00000000" w:usb2="00000000" w:usb3="00000000" w:csb0="00000000" w:csb1="00000000"/>
  </w:font>
  <w:font w:name="B3">
    <w:altName w:val="苹方-简"/>
    <w:panose1 w:val="00000000000000000000"/>
    <w:charset w:val="00"/>
    <w:family w:val="auto"/>
    <w:pitch w:val="default"/>
    <w:sig w:usb0="00000000" w:usb1="00000000" w:usb2="00000000" w:usb3="00000000" w:csb0="00000000" w:csb1="00000000"/>
  </w:font>
  <w:font w:name="times">
    <w:altName w:val="苹方-简"/>
    <w:panose1 w:val="00000000000000000000"/>
    <w:charset w:val="00"/>
    <w:family w:val="auto"/>
    <w:pitch w:val="default"/>
    <w:sig w:usb0="00000000" w:usb1="00000000" w:usb2="00000000" w:usb3="00000000" w:csb0="00000000" w:csb1="00000000"/>
  </w:font>
  <w:font w:name="B4">
    <w:altName w:val="苹方-简"/>
    <w:panose1 w:val="00000000000000000000"/>
    <w:charset w:val="00"/>
    <w:family w:val="auto"/>
    <w:pitch w:val="default"/>
    <w:sig w:usb0="00000000" w:usb1="00000000" w:usb2="00000000" w:usb3="00000000" w:csb0="00000000" w:csb1="00000000"/>
  </w:font>
  <w:font w:name="pingfang sc semibold">
    <w:panose1 w:val="020B0400000000000000"/>
    <w:charset w:val="86"/>
    <w:family w:val="auto"/>
    <w:pitch w:val="default"/>
    <w:sig w:usb0="A00002FF" w:usb1="7ACFFDFB" w:usb2="00000017" w:usb3="00000000" w:csb0="00040001" w:csb1="00000000"/>
  </w:font>
  <w:font w:name="DLF-3-0-1128034812">
    <w:altName w:val="苹方-简"/>
    <w:panose1 w:val="00000000000000000000"/>
    <w:charset w:val="00"/>
    <w:family w:val="auto"/>
    <w:pitch w:val="default"/>
    <w:sig w:usb0="00000000" w:usb1="00000000" w:usb2="00000000" w:usb3="00000000" w:csb0="00000000" w:csb1="00000000"/>
  </w:font>
  <w:font w:name="DLF-32769-4-1128754162">
    <w:altName w:val="苹方-简"/>
    <w:panose1 w:val="00000000000000000000"/>
    <w:charset w:val="00"/>
    <w:family w:val="auto"/>
    <w:pitch w:val="default"/>
    <w:sig w:usb0="00000000" w:usb1="00000000" w:usb2="00000000" w:usb3="00000000" w:csb0="00000000" w:csb1="00000000"/>
  </w:font>
  <w:font w:name="B6">
    <w:altName w:val="苹方-简"/>
    <w:panose1 w:val="00000000000000000000"/>
    <w:charset w:val="00"/>
    <w:family w:val="auto"/>
    <w:pitch w:val="default"/>
    <w:sig w:usb0="00000000" w:usb1="00000000" w:usb2="00000000" w:usb3="00000000" w:csb0="00000000" w:csb1="00000000"/>
  </w:font>
  <w:font w:name="B5">
    <w:altName w:val="苹方-简"/>
    <w:panose1 w:val="00000000000000000000"/>
    <w:charset w:val="00"/>
    <w:family w:val="auto"/>
    <w:pitch w:val="default"/>
    <w:sig w:usb0="00000000" w:usb1="00000000" w:usb2="00000000" w:usb3="00000000" w:csb0="00000000" w:csb1="00000000"/>
  </w:font>
  <w:font w:name="仿宋">
    <w:altName w:val="方正仿宋_GBK"/>
    <w:panose1 w:val="02010609060101010101"/>
    <w:charset w:val="00"/>
    <w:family w:val="auto"/>
    <w:pitch w:val="default"/>
    <w:sig w:usb0="00000000" w:usb1="00000000" w:usb2="00000016" w:usb3="00000000" w:csb0="00040001" w:csb1="00000000"/>
  </w:font>
  <w:font w:name="仿宋_GB2312">
    <w:altName w:val="方正仿宋_GBK"/>
    <w:panose1 w:val="02010609030101010101"/>
    <w:charset w:val="00"/>
    <w:family w:val="modern"/>
    <w:pitch w:val="default"/>
    <w:sig w:usb0="00000000" w:usb1="00000000" w:usb2="00000010" w:usb3="00000000" w:csb0="00040000" w:csb1="00000000"/>
  </w:font>
  <w:font w:name="Arial Hebrew Regular">
    <w:panose1 w:val="00000000000000000000"/>
    <w:charset w:val="00"/>
    <w:family w:val="auto"/>
    <w:pitch w:val="default"/>
    <w:sig w:usb0="80000843" w:usb1="40000002" w:usb2="00000000" w:usb3="00000000" w:csb0="00000001" w:csb1="00000000"/>
  </w:font>
  <w:font w:name="Heiti SC Light">
    <w:panose1 w:val="00000000000000000000"/>
    <w:charset w:val="86"/>
    <w:family w:val="auto"/>
    <w:pitch w:val="default"/>
    <w:sig w:usb0="8000002F" w:usb1="0800004A" w:usb2="00000000" w:usb3="00000000" w:csb0="203E0000" w:csb1="00000000"/>
  </w:font>
  <w:font w:name="PingFang HK Regular">
    <w:panose1 w:val="020B0400000000000000"/>
    <w:charset w:val="88"/>
    <w:family w:val="auto"/>
    <w:pitch w:val="default"/>
    <w:sig w:usb0="A00002FF" w:usb1="7ACFFDFB" w:usb2="00000017" w:usb3="00000000" w:csb0="00100001" w:csb1="00000000"/>
  </w:font>
  <w:font w:name="FZHTJW--GB1-0">
    <w:altName w:val="苹方-简"/>
    <w:panose1 w:val="00000000000000000000"/>
    <w:charset w:val="00"/>
    <w:family w:val="auto"/>
    <w:pitch w:val="default"/>
    <w:sig w:usb0="00000000" w:usb1="00000000" w:usb2="00000000" w:usb3="00000000" w:csb0="00000000" w:csb1="00000000"/>
  </w:font>
  <w:font w:name="FZSSK--GBK1-00">
    <w:altName w:val="苹方-简"/>
    <w:panose1 w:val="00000000000000000000"/>
    <w:charset w:val="00"/>
    <w:family w:val="auto"/>
    <w:pitch w:val="default"/>
    <w:sig w:usb0="00000000" w:usb1="00000000" w:usb2="00000000" w:usb3="00000000" w:csb0="00000000" w:csb1="00000000"/>
  </w:font>
  <w:font w:name="SSJ4">
    <w:altName w:val="苹方-简"/>
    <w:panose1 w:val="00000000000000000000"/>
    <w:charset w:val="00"/>
    <w:family w:val="auto"/>
    <w:pitch w:val="default"/>
    <w:sig w:usb0="00000000" w:usb1="00000000" w:usb2="00000000" w:usb3="00000000" w:csb0="00000000" w:csb1="00000000"/>
  </w:font>
  <w:font w:name="FZHTK--GBK1-00">
    <w:altName w:val="苹方-简"/>
    <w:panose1 w:val="00000000000000000000"/>
    <w:charset w:val="00"/>
    <w:family w:val="auto"/>
    <w:pitch w:val="default"/>
    <w:sig w:usb0="00000000" w:usb1="00000000" w:usb2="00000000" w:usb3="00000000" w:csb0="00000000" w:csb1="00000000"/>
  </w:font>
  <w:font w:name="FZKTK--GBK1-00">
    <w:altName w:val="苹方-简"/>
    <w:panose1 w:val="00000000000000000000"/>
    <w:charset w:val="00"/>
    <w:family w:val="auto"/>
    <w:pitch w:val="default"/>
    <w:sig w:usb0="00000000" w:usb1="00000000" w:usb2="00000000" w:usb3="00000000" w:csb0="00000000" w:csb1="00000000"/>
  </w:font>
  <w:font w:name="SSJ31">
    <w:altName w:val="苹方-简"/>
    <w:panose1 w:val="00000000000000000000"/>
    <w:charset w:val="00"/>
    <w:family w:val="auto"/>
    <w:pitch w:val="default"/>
    <w:sig w:usb0="00000000" w:usb1="00000000" w:usb2="00000000" w:usb3="00000000" w:csb0="00000000" w:csb1="00000000"/>
  </w:font>
  <w:font w:name="HTJ0">
    <w:altName w:val="苹方-简"/>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Courier New">
    <w:panose1 w:val="02070309020205020404"/>
    <w:charset w:val="00"/>
    <w:family w:val="modern"/>
    <w:pitch w:val="default"/>
    <w:sig w:usb0="E0002AFF" w:usb1="C0007843" w:usb2="00000009" w:usb3="00000000" w:csb0="400001FF" w:csb1="FFFF0000"/>
  </w:font>
  <w:font w:name="兰亭黑-繁">
    <w:altName w:val="苹方-简"/>
    <w:panose1 w:val="03000509000000000000"/>
    <w:charset w:val="88"/>
    <w:family w:val="auto"/>
    <w:pitch w:val="default"/>
    <w:sig w:usb0="00000000" w:usb1="00000000" w:usb2="00000000" w:usb3="00000000" w:csb0="00100000" w:csb1="00000000"/>
  </w:font>
  <w:font w:name="手札体-繁">
    <w:altName w:val="苹方-简"/>
    <w:panose1 w:val="03000500000000000000"/>
    <w:charset w:val="86"/>
    <w:family w:val="auto"/>
    <w:pitch w:val="default"/>
    <w:sig w:usb0="00000000" w:usb1="00000000" w:usb2="00000016" w:usb3="00000000" w:csb0="00040001" w:csb1="00000000"/>
  </w:font>
  <w:font w:name="KTJ0">
    <w:altName w:val="苹方-简"/>
    <w:panose1 w:val="00000000000000000000"/>
    <w:charset w:val="00"/>
    <w:family w:val="auto"/>
    <w:pitch w:val="default"/>
    <w:sig w:usb0="00000000" w:usb1="00000000" w:usb2="00000000" w:usb3="00000000" w:csb0="00000000" w:csb1="00000000"/>
  </w:font>
  <w:font w:name="DLF-32769-4-1600020063">
    <w:altName w:val="苹方-简"/>
    <w:panose1 w:val="00000000000000000000"/>
    <w:charset w:val="00"/>
    <w:family w:val="auto"/>
    <w:pitch w:val="default"/>
    <w:sig w:usb0="00000000" w:usb1="00000000" w:usb2="00000000" w:usb3="00000000" w:csb0="00000000" w:csb1="00000000"/>
  </w:font>
  <w:font w:name="DLF-32769-3-1727349370">
    <w:altName w:val="苹方-简"/>
    <w:panose1 w:val="00000000000000000000"/>
    <w:charset w:val="00"/>
    <w:family w:val="auto"/>
    <w:pitch w:val="default"/>
    <w:sig w:usb0="00000000" w:usb1="00000000" w:usb2="00000000" w:usb3="00000000" w:csb0="00000000" w:csb1="00000000"/>
  </w:font>
  <w:font w:name="DLF-3-0-1800422487">
    <w:altName w:val="苹方-简"/>
    <w:panose1 w:val="00000000000000000000"/>
    <w:charset w:val="00"/>
    <w:family w:val="auto"/>
    <w:pitch w:val="default"/>
    <w:sig w:usb0="00000000" w:usb1="00000000" w:usb2="00000000" w:usb3="00000000" w:csb0="00000000" w:csb1="00000000"/>
  </w:font>
  <w:font w:name="DLF-32769-4-1602649870">
    <w:altName w:val="苹方-简"/>
    <w:panose1 w:val="00000000000000000000"/>
    <w:charset w:val="00"/>
    <w:family w:val="auto"/>
    <w:pitch w:val="default"/>
    <w:sig w:usb0="00000000" w:usb1="00000000" w:usb2="00000000" w:usb3="00000000" w:csb0="00000000" w:csb1="00000000"/>
  </w:font>
  <w:font w:name="FZSSJW--GB1-0">
    <w:altName w:val="苹方-简"/>
    <w:panose1 w:val="00000000000000000000"/>
    <w:charset w:val="00"/>
    <w:family w:val="auto"/>
    <w:pitch w:val="default"/>
    <w:sig w:usb0="00000000" w:usb1="00000000" w:usb2="00000000" w:usb3="00000000" w:csb0="00000000" w:csb1="00000000"/>
  </w:font>
  <w:font w:name="FZKTK--GBK1-0">
    <w:altName w:val="苹方-简"/>
    <w:panose1 w:val="00000000000000000000"/>
    <w:charset w:val="00"/>
    <w:family w:val="auto"/>
    <w:pitch w:val="default"/>
    <w:sig w:usb0="00000000" w:usb1="00000000" w:usb2="00000000" w:usb3="00000000" w:csb0="00000000" w:csb1="00000000"/>
  </w:font>
  <w:font w:name="Kaiti SC Regular">
    <w:altName w:val="华文宋体"/>
    <w:panose1 w:val="02010600040101010101"/>
    <w:charset w:val="86"/>
    <w:family w:val="auto"/>
    <w:pitch w:val="default"/>
    <w:sig w:usb0="00000000" w:usb1="00000000" w:usb2="00000016" w:usb3="00000000" w:csb0="0004001F" w:csb1="00000000"/>
  </w:font>
  <w:font w:name="华文楷体">
    <w:altName w:val="华文宋体"/>
    <w:panose1 w:val="02010600040101010101"/>
    <w:charset w:val="86"/>
    <w:family w:val="auto"/>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5"/>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eastAsia="宋体"/>
          <w:lang w:eastAsia="zh-CN"/>
        </w:rPr>
      </w:pPr>
      <w:r>
        <w:rPr>
          <w:rStyle w:val="7"/>
        </w:rPr>
        <w:t>*</w:t>
      </w:r>
      <w:r>
        <w:rPr>
          <w:rFonts w:hint="eastAsia"/>
        </w:rPr>
        <w:t>本文</w:t>
      </w:r>
      <w:r>
        <w:rPr>
          <w:rFonts w:hint="eastAsia"/>
          <w:lang w:val="en-US" w:eastAsia="zh-Hans"/>
        </w:rPr>
        <w:t>系</w:t>
      </w:r>
      <w:r>
        <w:rPr>
          <w:rFonts w:hint="eastAsia"/>
        </w:rPr>
        <w:t>国家社会科学基金重大项目“新时代全面净化党内政治生态的制度体系研究”（项目编号：20ZDA022）</w:t>
      </w:r>
      <w:r>
        <w:rPr>
          <w:rFonts w:hint="eastAsia"/>
          <w:lang w:val="en-US" w:eastAsia="zh-Hans"/>
        </w:rPr>
        <w:t>阶段性成果。</w:t>
      </w:r>
    </w:p>
    <w:p>
      <w:pPr>
        <w:pStyle w:val="5"/>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eastAsia="宋体"/>
          <w:lang w:eastAsia="zh-C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F13973"/>
    <w:multiLevelType w:val="singleLevel"/>
    <w:tmpl w:val="61F13973"/>
    <w:lvl w:ilvl="0" w:tentative="0">
      <w:start w:val="3"/>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3F669A"/>
    <w:rsid w:val="0FFEA0D9"/>
    <w:rsid w:val="15BF0D0E"/>
    <w:rsid w:val="16C54619"/>
    <w:rsid w:val="17F55554"/>
    <w:rsid w:val="199DF931"/>
    <w:rsid w:val="1B7F0F4F"/>
    <w:rsid w:val="1BF24416"/>
    <w:rsid w:val="1C6BADD3"/>
    <w:rsid w:val="1D7614E6"/>
    <w:rsid w:val="1DFF4EFE"/>
    <w:rsid w:val="1F7F4A55"/>
    <w:rsid w:val="1FB7AC51"/>
    <w:rsid w:val="1FBFB915"/>
    <w:rsid w:val="1FC6487D"/>
    <w:rsid w:val="1FE5E27F"/>
    <w:rsid w:val="1FFE1364"/>
    <w:rsid w:val="1FFF58B6"/>
    <w:rsid w:val="1FFFD64C"/>
    <w:rsid w:val="213F0DB2"/>
    <w:rsid w:val="27BF4619"/>
    <w:rsid w:val="27FFA636"/>
    <w:rsid w:val="2AF394AA"/>
    <w:rsid w:val="2BBBB1E8"/>
    <w:rsid w:val="2BE5858A"/>
    <w:rsid w:val="2BE7DF6C"/>
    <w:rsid w:val="2C6B1C5D"/>
    <w:rsid w:val="2DEF5506"/>
    <w:rsid w:val="2E7B981B"/>
    <w:rsid w:val="2EC18021"/>
    <w:rsid w:val="2EF511C7"/>
    <w:rsid w:val="2F5729BC"/>
    <w:rsid w:val="2F6E3273"/>
    <w:rsid w:val="2FEB37BC"/>
    <w:rsid w:val="2FF43F2F"/>
    <w:rsid w:val="327F759F"/>
    <w:rsid w:val="33E6ED9E"/>
    <w:rsid w:val="33EE570D"/>
    <w:rsid w:val="33FE5346"/>
    <w:rsid w:val="35EE556F"/>
    <w:rsid w:val="35EFBE8D"/>
    <w:rsid w:val="35FF58D1"/>
    <w:rsid w:val="367771BC"/>
    <w:rsid w:val="37454FC1"/>
    <w:rsid w:val="37BF563A"/>
    <w:rsid w:val="37CE53E2"/>
    <w:rsid w:val="37FD0DD1"/>
    <w:rsid w:val="37FFF4C7"/>
    <w:rsid w:val="38F7B00C"/>
    <w:rsid w:val="393FDC0E"/>
    <w:rsid w:val="3AEE81D2"/>
    <w:rsid w:val="3AF7418F"/>
    <w:rsid w:val="3AFF1078"/>
    <w:rsid w:val="3B7FCE2A"/>
    <w:rsid w:val="3BD7BFB1"/>
    <w:rsid w:val="3BF119CA"/>
    <w:rsid w:val="3BF36141"/>
    <w:rsid w:val="3DEFC9C3"/>
    <w:rsid w:val="3DFD29C4"/>
    <w:rsid w:val="3DFF161A"/>
    <w:rsid w:val="3DFF6C73"/>
    <w:rsid w:val="3E6FA39F"/>
    <w:rsid w:val="3E7FF1ED"/>
    <w:rsid w:val="3E96E947"/>
    <w:rsid w:val="3EBF893D"/>
    <w:rsid w:val="3EF74131"/>
    <w:rsid w:val="3EF7B24E"/>
    <w:rsid w:val="3EFBCE4D"/>
    <w:rsid w:val="3EFF43A1"/>
    <w:rsid w:val="3F3AEC98"/>
    <w:rsid w:val="3F6FA612"/>
    <w:rsid w:val="3F7F7DEC"/>
    <w:rsid w:val="3F7FC900"/>
    <w:rsid w:val="3F8FC4E7"/>
    <w:rsid w:val="3F9FF916"/>
    <w:rsid w:val="3FBEF8C4"/>
    <w:rsid w:val="3FBF289C"/>
    <w:rsid w:val="3FE3712C"/>
    <w:rsid w:val="3FFB1C1A"/>
    <w:rsid w:val="3FFF0337"/>
    <w:rsid w:val="3FFF3B8F"/>
    <w:rsid w:val="3FFF92FD"/>
    <w:rsid w:val="41203CBF"/>
    <w:rsid w:val="43724D17"/>
    <w:rsid w:val="442F0E4D"/>
    <w:rsid w:val="44DABC60"/>
    <w:rsid w:val="45FFDDBE"/>
    <w:rsid w:val="47FF2CC9"/>
    <w:rsid w:val="4B5FDBE7"/>
    <w:rsid w:val="4B7F1785"/>
    <w:rsid w:val="4CFFCAE4"/>
    <w:rsid w:val="4DFA0076"/>
    <w:rsid w:val="4DFDCAFB"/>
    <w:rsid w:val="4F220F86"/>
    <w:rsid w:val="4FDB0D2E"/>
    <w:rsid w:val="4FE09F31"/>
    <w:rsid w:val="4FE77CA0"/>
    <w:rsid w:val="4FF72C58"/>
    <w:rsid w:val="4FF7AD6B"/>
    <w:rsid w:val="4FFB91EF"/>
    <w:rsid w:val="50577FF6"/>
    <w:rsid w:val="52F79027"/>
    <w:rsid w:val="531B704F"/>
    <w:rsid w:val="53BFB2C7"/>
    <w:rsid w:val="54FB2AC1"/>
    <w:rsid w:val="552914CB"/>
    <w:rsid w:val="564F91D4"/>
    <w:rsid w:val="56DA698F"/>
    <w:rsid w:val="571DE032"/>
    <w:rsid w:val="57788C46"/>
    <w:rsid w:val="578B0EED"/>
    <w:rsid w:val="57BF5E4A"/>
    <w:rsid w:val="57F8CDE0"/>
    <w:rsid w:val="586D49C9"/>
    <w:rsid w:val="59BFF71C"/>
    <w:rsid w:val="59D479C7"/>
    <w:rsid w:val="5ABD239A"/>
    <w:rsid w:val="5ADC0F21"/>
    <w:rsid w:val="5AFF894A"/>
    <w:rsid w:val="5B97E9CC"/>
    <w:rsid w:val="5BC9AC79"/>
    <w:rsid w:val="5BEA6A51"/>
    <w:rsid w:val="5BEDC2ED"/>
    <w:rsid w:val="5BF11013"/>
    <w:rsid w:val="5BFAE957"/>
    <w:rsid w:val="5BFDD73D"/>
    <w:rsid w:val="5BFDDED8"/>
    <w:rsid w:val="5C1F4D17"/>
    <w:rsid w:val="5C8F6E81"/>
    <w:rsid w:val="5CDA9D1B"/>
    <w:rsid w:val="5CFE98DF"/>
    <w:rsid w:val="5D5DEA1E"/>
    <w:rsid w:val="5DEF2E34"/>
    <w:rsid w:val="5DFFAE03"/>
    <w:rsid w:val="5DFFED28"/>
    <w:rsid w:val="5E7728AC"/>
    <w:rsid w:val="5EB7F3F3"/>
    <w:rsid w:val="5EF65777"/>
    <w:rsid w:val="5EFB3F08"/>
    <w:rsid w:val="5EFFEBA0"/>
    <w:rsid w:val="5F29C3B7"/>
    <w:rsid w:val="5F6EAA2C"/>
    <w:rsid w:val="5F6F430A"/>
    <w:rsid w:val="5F7E6AB7"/>
    <w:rsid w:val="5F8F5D40"/>
    <w:rsid w:val="5F9E316D"/>
    <w:rsid w:val="5FDF1AC3"/>
    <w:rsid w:val="5FDFDD62"/>
    <w:rsid w:val="5FE8241E"/>
    <w:rsid w:val="5FEE926D"/>
    <w:rsid w:val="5FEEDEB9"/>
    <w:rsid w:val="5FFB85A9"/>
    <w:rsid w:val="5FFC66B5"/>
    <w:rsid w:val="5FFFFA7D"/>
    <w:rsid w:val="61FC86EC"/>
    <w:rsid w:val="6265AD94"/>
    <w:rsid w:val="63ADBBF3"/>
    <w:rsid w:val="656F01C8"/>
    <w:rsid w:val="657D2B18"/>
    <w:rsid w:val="65CF2628"/>
    <w:rsid w:val="65EBA384"/>
    <w:rsid w:val="65F5567A"/>
    <w:rsid w:val="667EF9D5"/>
    <w:rsid w:val="66A42AA3"/>
    <w:rsid w:val="66EB8277"/>
    <w:rsid w:val="6756448C"/>
    <w:rsid w:val="677D160B"/>
    <w:rsid w:val="677F4D35"/>
    <w:rsid w:val="67BBD009"/>
    <w:rsid w:val="67F7AE54"/>
    <w:rsid w:val="691943F4"/>
    <w:rsid w:val="6977093F"/>
    <w:rsid w:val="69A71548"/>
    <w:rsid w:val="69BBB284"/>
    <w:rsid w:val="6A754382"/>
    <w:rsid w:val="6B511B11"/>
    <w:rsid w:val="6B75DCF1"/>
    <w:rsid w:val="6BBBD92E"/>
    <w:rsid w:val="6BD74800"/>
    <w:rsid w:val="6CEFC7FF"/>
    <w:rsid w:val="6D7D0D58"/>
    <w:rsid w:val="6D7D7352"/>
    <w:rsid w:val="6DE474A1"/>
    <w:rsid w:val="6DF70E52"/>
    <w:rsid w:val="6E7E44F5"/>
    <w:rsid w:val="6EAE71C8"/>
    <w:rsid w:val="6EDF919B"/>
    <w:rsid w:val="6EE40BCE"/>
    <w:rsid w:val="6EE6C16B"/>
    <w:rsid w:val="6EEF4141"/>
    <w:rsid w:val="6EF79C56"/>
    <w:rsid w:val="6F2FE92C"/>
    <w:rsid w:val="6F323567"/>
    <w:rsid w:val="6F7640E7"/>
    <w:rsid w:val="6F7E9357"/>
    <w:rsid w:val="6FAB5E5A"/>
    <w:rsid w:val="6FBB565A"/>
    <w:rsid w:val="6FBD84F6"/>
    <w:rsid w:val="6FBFF068"/>
    <w:rsid w:val="6FD742C8"/>
    <w:rsid w:val="6FDFB882"/>
    <w:rsid w:val="6FF0E4A2"/>
    <w:rsid w:val="6FF7ECC3"/>
    <w:rsid w:val="6FFEEEF1"/>
    <w:rsid w:val="6FFEF5B9"/>
    <w:rsid w:val="6FFF4C9F"/>
    <w:rsid w:val="6FFFBDC9"/>
    <w:rsid w:val="6FFFF159"/>
    <w:rsid w:val="70CE0918"/>
    <w:rsid w:val="71E7F380"/>
    <w:rsid w:val="72E76844"/>
    <w:rsid w:val="736BD1DE"/>
    <w:rsid w:val="7371ED4F"/>
    <w:rsid w:val="745E7D6C"/>
    <w:rsid w:val="74750BCF"/>
    <w:rsid w:val="74FBA4C0"/>
    <w:rsid w:val="757DE583"/>
    <w:rsid w:val="75DE8886"/>
    <w:rsid w:val="75DF85AA"/>
    <w:rsid w:val="767B460A"/>
    <w:rsid w:val="767E1511"/>
    <w:rsid w:val="767EE918"/>
    <w:rsid w:val="76CF722A"/>
    <w:rsid w:val="76EDBE1C"/>
    <w:rsid w:val="76FF6955"/>
    <w:rsid w:val="775DF158"/>
    <w:rsid w:val="77770A60"/>
    <w:rsid w:val="777775A0"/>
    <w:rsid w:val="777FEEAC"/>
    <w:rsid w:val="77A39981"/>
    <w:rsid w:val="77B28358"/>
    <w:rsid w:val="77B7460A"/>
    <w:rsid w:val="77B78A81"/>
    <w:rsid w:val="77BF5E04"/>
    <w:rsid w:val="77BFCD96"/>
    <w:rsid w:val="77DD64D6"/>
    <w:rsid w:val="77DE5C2A"/>
    <w:rsid w:val="77E0A78E"/>
    <w:rsid w:val="77EB9545"/>
    <w:rsid w:val="77F50E95"/>
    <w:rsid w:val="77FF5918"/>
    <w:rsid w:val="77FF636C"/>
    <w:rsid w:val="77FFCF14"/>
    <w:rsid w:val="78FF223B"/>
    <w:rsid w:val="7935CCDF"/>
    <w:rsid w:val="79D602EA"/>
    <w:rsid w:val="79F6D824"/>
    <w:rsid w:val="79FD4C57"/>
    <w:rsid w:val="79FD8313"/>
    <w:rsid w:val="79FFAE6C"/>
    <w:rsid w:val="79FFFCCB"/>
    <w:rsid w:val="7A3DE37D"/>
    <w:rsid w:val="7AEF1004"/>
    <w:rsid w:val="7AF71A4B"/>
    <w:rsid w:val="7B3FAA98"/>
    <w:rsid w:val="7B77C466"/>
    <w:rsid w:val="7B7FC674"/>
    <w:rsid w:val="7B9FB367"/>
    <w:rsid w:val="7BB56DC2"/>
    <w:rsid w:val="7BD7D209"/>
    <w:rsid w:val="7BDE09D1"/>
    <w:rsid w:val="7BE6FA1C"/>
    <w:rsid w:val="7BE7E241"/>
    <w:rsid w:val="7BEFEA2D"/>
    <w:rsid w:val="7BFBB12A"/>
    <w:rsid w:val="7BFF8D4E"/>
    <w:rsid w:val="7CAEF534"/>
    <w:rsid w:val="7CEFF247"/>
    <w:rsid w:val="7CFDA62E"/>
    <w:rsid w:val="7D2FA2F3"/>
    <w:rsid w:val="7D72048A"/>
    <w:rsid w:val="7D77EC36"/>
    <w:rsid w:val="7D7F5DCD"/>
    <w:rsid w:val="7D8DB97F"/>
    <w:rsid w:val="7DBFDA33"/>
    <w:rsid w:val="7DBFE42D"/>
    <w:rsid w:val="7DC6F8D4"/>
    <w:rsid w:val="7DCE7FE2"/>
    <w:rsid w:val="7DDFC59F"/>
    <w:rsid w:val="7DE7E58C"/>
    <w:rsid w:val="7DEA0A49"/>
    <w:rsid w:val="7DEDCDCD"/>
    <w:rsid w:val="7DEFC6CE"/>
    <w:rsid w:val="7DF621FD"/>
    <w:rsid w:val="7DF9555B"/>
    <w:rsid w:val="7E3AD3E5"/>
    <w:rsid w:val="7E5CFA23"/>
    <w:rsid w:val="7E5E2ACA"/>
    <w:rsid w:val="7E5FAB7A"/>
    <w:rsid w:val="7E729696"/>
    <w:rsid w:val="7E7F390B"/>
    <w:rsid w:val="7E8B2B7C"/>
    <w:rsid w:val="7EA492F1"/>
    <w:rsid w:val="7EBCEDE9"/>
    <w:rsid w:val="7EDAFFE2"/>
    <w:rsid w:val="7EDC0920"/>
    <w:rsid w:val="7EEE3719"/>
    <w:rsid w:val="7EFB3E51"/>
    <w:rsid w:val="7EFB89E9"/>
    <w:rsid w:val="7EFF4C1E"/>
    <w:rsid w:val="7EFF5BAF"/>
    <w:rsid w:val="7F35753A"/>
    <w:rsid w:val="7F37A603"/>
    <w:rsid w:val="7F3C2E14"/>
    <w:rsid w:val="7F3DB879"/>
    <w:rsid w:val="7F6BC238"/>
    <w:rsid w:val="7F6FECEF"/>
    <w:rsid w:val="7F743052"/>
    <w:rsid w:val="7F79E527"/>
    <w:rsid w:val="7F7B9DEA"/>
    <w:rsid w:val="7F7F7D49"/>
    <w:rsid w:val="7F7F8A28"/>
    <w:rsid w:val="7F7FE760"/>
    <w:rsid w:val="7F972ACD"/>
    <w:rsid w:val="7F9BF658"/>
    <w:rsid w:val="7F9D5840"/>
    <w:rsid w:val="7F9DEC3A"/>
    <w:rsid w:val="7F9F8A4B"/>
    <w:rsid w:val="7FA8E109"/>
    <w:rsid w:val="7FB533FD"/>
    <w:rsid w:val="7FC7B921"/>
    <w:rsid w:val="7FCC2CAE"/>
    <w:rsid w:val="7FD3994B"/>
    <w:rsid w:val="7FD5E5EC"/>
    <w:rsid w:val="7FD861C3"/>
    <w:rsid w:val="7FDB1392"/>
    <w:rsid w:val="7FDDF4DE"/>
    <w:rsid w:val="7FDEAA10"/>
    <w:rsid w:val="7FE7FB8D"/>
    <w:rsid w:val="7FE90E08"/>
    <w:rsid w:val="7FEDC39F"/>
    <w:rsid w:val="7FEF2319"/>
    <w:rsid w:val="7FEF88BD"/>
    <w:rsid w:val="7FF39A3E"/>
    <w:rsid w:val="7FF67013"/>
    <w:rsid w:val="7FF7038A"/>
    <w:rsid w:val="7FF761D6"/>
    <w:rsid w:val="7FF7B178"/>
    <w:rsid w:val="7FF9A652"/>
    <w:rsid w:val="7FFA08B4"/>
    <w:rsid w:val="7FFA8870"/>
    <w:rsid w:val="7FFAC172"/>
    <w:rsid w:val="7FFB2682"/>
    <w:rsid w:val="7FFBD16D"/>
    <w:rsid w:val="7FFDC0C7"/>
    <w:rsid w:val="7FFE3F08"/>
    <w:rsid w:val="7FFE979B"/>
    <w:rsid w:val="7FFEBCD1"/>
    <w:rsid w:val="7FFEC6B2"/>
    <w:rsid w:val="7FFFE84A"/>
    <w:rsid w:val="8DF672B4"/>
    <w:rsid w:val="8EDA30B4"/>
    <w:rsid w:val="8FD410D3"/>
    <w:rsid w:val="8FDD79CD"/>
    <w:rsid w:val="955DA0D3"/>
    <w:rsid w:val="96BB14C1"/>
    <w:rsid w:val="9ADFE84F"/>
    <w:rsid w:val="9AF33915"/>
    <w:rsid w:val="9BFF5FF4"/>
    <w:rsid w:val="9D7BB0C2"/>
    <w:rsid w:val="9DDC212F"/>
    <w:rsid w:val="9EDD4CBF"/>
    <w:rsid w:val="9F5F3B4E"/>
    <w:rsid w:val="9FBF42FF"/>
    <w:rsid w:val="9FD6E03C"/>
    <w:rsid w:val="9FEF01AB"/>
    <w:rsid w:val="A7BF5682"/>
    <w:rsid w:val="A7BFFB8C"/>
    <w:rsid w:val="A7DB07A4"/>
    <w:rsid w:val="A8FF0F1A"/>
    <w:rsid w:val="AADBCE9D"/>
    <w:rsid w:val="AB4E19B0"/>
    <w:rsid w:val="ABA2F623"/>
    <w:rsid w:val="ABCEEB99"/>
    <w:rsid w:val="ABFF2F4E"/>
    <w:rsid w:val="AC76656C"/>
    <w:rsid w:val="AD1F4065"/>
    <w:rsid w:val="AECFDCB0"/>
    <w:rsid w:val="AF0568AA"/>
    <w:rsid w:val="AF4A3919"/>
    <w:rsid w:val="AFDCD984"/>
    <w:rsid w:val="AFFB3246"/>
    <w:rsid w:val="B1BB6F7D"/>
    <w:rsid w:val="B35EED7D"/>
    <w:rsid w:val="B35F9603"/>
    <w:rsid w:val="B3FEBC6D"/>
    <w:rsid w:val="B3FF27C7"/>
    <w:rsid w:val="B5FE3A60"/>
    <w:rsid w:val="B775A3E3"/>
    <w:rsid w:val="B795F7F0"/>
    <w:rsid w:val="B79E3DAB"/>
    <w:rsid w:val="B7B39AFE"/>
    <w:rsid w:val="B7B68909"/>
    <w:rsid w:val="B9FD15F5"/>
    <w:rsid w:val="B9FD1C15"/>
    <w:rsid w:val="BB3B49CB"/>
    <w:rsid w:val="BB767811"/>
    <w:rsid w:val="BBF7A555"/>
    <w:rsid w:val="BBF9A672"/>
    <w:rsid w:val="BD1C736B"/>
    <w:rsid w:val="BDBBF66A"/>
    <w:rsid w:val="BDDD9035"/>
    <w:rsid w:val="BDFF6E65"/>
    <w:rsid w:val="BDFFA90D"/>
    <w:rsid w:val="BE1EFA19"/>
    <w:rsid w:val="BE2D5F35"/>
    <w:rsid w:val="BEB3557D"/>
    <w:rsid w:val="BEBBA018"/>
    <w:rsid w:val="BEF91FEF"/>
    <w:rsid w:val="BEFD97F2"/>
    <w:rsid w:val="BEFF4A8E"/>
    <w:rsid w:val="BEFFD08C"/>
    <w:rsid w:val="BF4D2670"/>
    <w:rsid w:val="BF6C9528"/>
    <w:rsid w:val="BF7F88A3"/>
    <w:rsid w:val="BFAB8203"/>
    <w:rsid w:val="BFB9967C"/>
    <w:rsid w:val="BFBF0CED"/>
    <w:rsid w:val="BFE58274"/>
    <w:rsid w:val="BFEF0958"/>
    <w:rsid w:val="BFFB3B18"/>
    <w:rsid w:val="BFFDF1DC"/>
    <w:rsid w:val="BFFF29F1"/>
    <w:rsid w:val="BFFF4414"/>
    <w:rsid w:val="BFFFC82B"/>
    <w:rsid w:val="C25879E0"/>
    <w:rsid w:val="C3FFB12C"/>
    <w:rsid w:val="C537E087"/>
    <w:rsid w:val="C5DF7AA3"/>
    <w:rsid w:val="C786CD79"/>
    <w:rsid w:val="CBD543D9"/>
    <w:rsid w:val="CBF7ED14"/>
    <w:rsid w:val="CD7FD7B1"/>
    <w:rsid w:val="CDB6901D"/>
    <w:rsid w:val="CDDFA820"/>
    <w:rsid w:val="CDDFECDD"/>
    <w:rsid w:val="CDFDA4A3"/>
    <w:rsid w:val="CDFDA5C7"/>
    <w:rsid w:val="CDFE4892"/>
    <w:rsid w:val="CDFF4083"/>
    <w:rsid w:val="CF8EB923"/>
    <w:rsid w:val="CF9F133C"/>
    <w:rsid w:val="CFCFE479"/>
    <w:rsid w:val="CFDF1AE0"/>
    <w:rsid w:val="CFEB615A"/>
    <w:rsid w:val="CFEE9155"/>
    <w:rsid w:val="CFFF6304"/>
    <w:rsid w:val="D03D4079"/>
    <w:rsid w:val="D3F7E179"/>
    <w:rsid w:val="D637B887"/>
    <w:rsid w:val="D6FB1DDC"/>
    <w:rsid w:val="D74F6E81"/>
    <w:rsid w:val="D7AEDB4C"/>
    <w:rsid w:val="D7BF1793"/>
    <w:rsid w:val="D7DF18EA"/>
    <w:rsid w:val="D7DFB558"/>
    <w:rsid w:val="D7EE028A"/>
    <w:rsid w:val="D7EED4EC"/>
    <w:rsid w:val="D9560319"/>
    <w:rsid w:val="D9BA4300"/>
    <w:rsid w:val="D9FE09BB"/>
    <w:rsid w:val="DA5A8BFE"/>
    <w:rsid w:val="DB7CD32F"/>
    <w:rsid w:val="DB7ECCAD"/>
    <w:rsid w:val="DBBE575C"/>
    <w:rsid w:val="DBDE70D9"/>
    <w:rsid w:val="DBEF3726"/>
    <w:rsid w:val="DBF94DE7"/>
    <w:rsid w:val="DBFBD409"/>
    <w:rsid w:val="DBFF0F4E"/>
    <w:rsid w:val="DBFF91F6"/>
    <w:rsid w:val="DCEE433B"/>
    <w:rsid w:val="DD4F54BB"/>
    <w:rsid w:val="DD6F031A"/>
    <w:rsid w:val="DDB33237"/>
    <w:rsid w:val="DDF6C17B"/>
    <w:rsid w:val="DDFF9F62"/>
    <w:rsid w:val="DDFFFC9C"/>
    <w:rsid w:val="DED5AE32"/>
    <w:rsid w:val="DEDBD8F5"/>
    <w:rsid w:val="DEFF4F47"/>
    <w:rsid w:val="DF3D06E4"/>
    <w:rsid w:val="DF3FE171"/>
    <w:rsid w:val="DF5FCF19"/>
    <w:rsid w:val="DF7B11ED"/>
    <w:rsid w:val="DF872BED"/>
    <w:rsid w:val="DF9DD506"/>
    <w:rsid w:val="DFBBCE99"/>
    <w:rsid w:val="DFBF1E89"/>
    <w:rsid w:val="DFDDF5FC"/>
    <w:rsid w:val="DFE2F575"/>
    <w:rsid w:val="DFE9FFD0"/>
    <w:rsid w:val="DFEE3D52"/>
    <w:rsid w:val="DFF72A34"/>
    <w:rsid w:val="E0FD2AEE"/>
    <w:rsid w:val="E17B7D47"/>
    <w:rsid w:val="E2FB0D1F"/>
    <w:rsid w:val="E3AF41DA"/>
    <w:rsid w:val="E557762D"/>
    <w:rsid w:val="E5DFBF97"/>
    <w:rsid w:val="E5EE41D3"/>
    <w:rsid w:val="E777C404"/>
    <w:rsid w:val="E77FE0C2"/>
    <w:rsid w:val="E7D71365"/>
    <w:rsid w:val="E7DF5343"/>
    <w:rsid w:val="E7DFCDCE"/>
    <w:rsid w:val="E7F53DC7"/>
    <w:rsid w:val="E7FF526D"/>
    <w:rsid w:val="E973EC80"/>
    <w:rsid w:val="EAFA63C2"/>
    <w:rsid w:val="EB798BFA"/>
    <w:rsid w:val="EBBF20F0"/>
    <w:rsid w:val="EBD574FD"/>
    <w:rsid w:val="EBFD2249"/>
    <w:rsid w:val="EBFFC1DE"/>
    <w:rsid w:val="ED7EC6A2"/>
    <w:rsid w:val="ED7FB0C7"/>
    <w:rsid w:val="EDAF868C"/>
    <w:rsid w:val="EDBAD3FD"/>
    <w:rsid w:val="EDBB3121"/>
    <w:rsid w:val="EDFF9C9E"/>
    <w:rsid w:val="EE3FD7D5"/>
    <w:rsid w:val="EE7FB2F8"/>
    <w:rsid w:val="EE7FDF63"/>
    <w:rsid w:val="EEA9FB07"/>
    <w:rsid w:val="EEEF78B9"/>
    <w:rsid w:val="EEFB4A92"/>
    <w:rsid w:val="EEFF3D97"/>
    <w:rsid w:val="EF315881"/>
    <w:rsid w:val="EF3F37A7"/>
    <w:rsid w:val="EF47C230"/>
    <w:rsid w:val="EF5B898D"/>
    <w:rsid w:val="EF75B2D1"/>
    <w:rsid w:val="EF7A571E"/>
    <w:rsid w:val="EF8EF3F6"/>
    <w:rsid w:val="EF9659DC"/>
    <w:rsid w:val="EFAFC742"/>
    <w:rsid w:val="EFBBEBE0"/>
    <w:rsid w:val="EFBE3F0B"/>
    <w:rsid w:val="EFBE71F1"/>
    <w:rsid w:val="EFCB8E98"/>
    <w:rsid w:val="EFD825D9"/>
    <w:rsid w:val="EFDE8C06"/>
    <w:rsid w:val="EFDF5E1C"/>
    <w:rsid w:val="EFF26C7D"/>
    <w:rsid w:val="EFF60B66"/>
    <w:rsid w:val="EFFB5208"/>
    <w:rsid w:val="EFFFBEF0"/>
    <w:rsid w:val="F1FBF6C0"/>
    <w:rsid w:val="F3BDD551"/>
    <w:rsid w:val="F3CFF486"/>
    <w:rsid w:val="F3D7D02B"/>
    <w:rsid w:val="F3DEBE5C"/>
    <w:rsid w:val="F3EAA10A"/>
    <w:rsid w:val="F4FC6640"/>
    <w:rsid w:val="F4FFFCAF"/>
    <w:rsid w:val="F59F45E9"/>
    <w:rsid w:val="F59F56E8"/>
    <w:rsid w:val="F5F61FD3"/>
    <w:rsid w:val="F5FF790D"/>
    <w:rsid w:val="F639C451"/>
    <w:rsid w:val="F67E22C9"/>
    <w:rsid w:val="F6B66580"/>
    <w:rsid w:val="F6ED987F"/>
    <w:rsid w:val="F6FDB75B"/>
    <w:rsid w:val="F6FE9955"/>
    <w:rsid w:val="F71F4117"/>
    <w:rsid w:val="F75F51A6"/>
    <w:rsid w:val="F7664A48"/>
    <w:rsid w:val="F77C0A3C"/>
    <w:rsid w:val="F77F3448"/>
    <w:rsid w:val="F7ABC7D7"/>
    <w:rsid w:val="F7BF2E1B"/>
    <w:rsid w:val="F7CF6563"/>
    <w:rsid w:val="F7E2F8B2"/>
    <w:rsid w:val="F7FE5C3A"/>
    <w:rsid w:val="F87C8E14"/>
    <w:rsid w:val="F8BDF057"/>
    <w:rsid w:val="F8EFFD7E"/>
    <w:rsid w:val="F93390DA"/>
    <w:rsid w:val="F9BECE7F"/>
    <w:rsid w:val="F9D78575"/>
    <w:rsid w:val="F9DFA1D5"/>
    <w:rsid w:val="F9EED689"/>
    <w:rsid w:val="F9FE67CD"/>
    <w:rsid w:val="F9FFBE7E"/>
    <w:rsid w:val="F9FFD037"/>
    <w:rsid w:val="FABF128C"/>
    <w:rsid w:val="FAFD1514"/>
    <w:rsid w:val="FAFFA31D"/>
    <w:rsid w:val="FB4F714A"/>
    <w:rsid w:val="FB6B9B31"/>
    <w:rsid w:val="FB6F7BD1"/>
    <w:rsid w:val="FB746FC5"/>
    <w:rsid w:val="FB7DED13"/>
    <w:rsid w:val="FBA9CF03"/>
    <w:rsid w:val="FBAA4A29"/>
    <w:rsid w:val="FBDE9D4C"/>
    <w:rsid w:val="FBDF6EE6"/>
    <w:rsid w:val="FBEA2A99"/>
    <w:rsid w:val="FBF125FB"/>
    <w:rsid w:val="FBF37217"/>
    <w:rsid w:val="FBFD7B6F"/>
    <w:rsid w:val="FBFDA1CA"/>
    <w:rsid w:val="FBFEC408"/>
    <w:rsid w:val="FBFEEDCA"/>
    <w:rsid w:val="FBFF597F"/>
    <w:rsid w:val="FC670F55"/>
    <w:rsid w:val="FC7F05C4"/>
    <w:rsid w:val="FC7FB695"/>
    <w:rsid w:val="FCFD10A9"/>
    <w:rsid w:val="FCFF4A5C"/>
    <w:rsid w:val="FD2A2DDC"/>
    <w:rsid w:val="FD2F0971"/>
    <w:rsid w:val="FD4F6EED"/>
    <w:rsid w:val="FD678914"/>
    <w:rsid w:val="FD6FF45C"/>
    <w:rsid w:val="FD734147"/>
    <w:rsid w:val="FD79A0AD"/>
    <w:rsid w:val="FD7DCADF"/>
    <w:rsid w:val="FD7EDAD5"/>
    <w:rsid w:val="FD7FB639"/>
    <w:rsid w:val="FD9FD499"/>
    <w:rsid w:val="FDB3A2AC"/>
    <w:rsid w:val="FDBF4C69"/>
    <w:rsid w:val="FDBFD851"/>
    <w:rsid w:val="FDCBD841"/>
    <w:rsid w:val="FDDE10FD"/>
    <w:rsid w:val="FDEBE83F"/>
    <w:rsid w:val="FDEF7567"/>
    <w:rsid w:val="FDF46956"/>
    <w:rsid w:val="FDF6029D"/>
    <w:rsid w:val="FDF7CF3D"/>
    <w:rsid w:val="FDF92844"/>
    <w:rsid w:val="FDFD4265"/>
    <w:rsid w:val="FDFFF64F"/>
    <w:rsid w:val="FE3FA820"/>
    <w:rsid w:val="FEBD04B0"/>
    <w:rsid w:val="FEBDB375"/>
    <w:rsid w:val="FED80661"/>
    <w:rsid w:val="FED8A115"/>
    <w:rsid w:val="FEDFE23A"/>
    <w:rsid w:val="FEE5AD16"/>
    <w:rsid w:val="FEE736A5"/>
    <w:rsid w:val="FEECF9FD"/>
    <w:rsid w:val="FEEF332C"/>
    <w:rsid w:val="FEF3C754"/>
    <w:rsid w:val="FEF71034"/>
    <w:rsid w:val="FEFB2368"/>
    <w:rsid w:val="FEFB35CE"/>
    <w:rsid w:val="FEFB3E28"/>
    <w:rsid w:val="FEFFCA75"/>
    <w:rsid w:val="FEFFE4DD"/>
    <w:rsid w:val="FEFFECC9"/>
    <w:rsid w:val="FEFFEF1A"/>
    <w:rsid w:val="FF3F7C1B"/>
    <w:rsid w:val="FF495373"/>
    <w:rsid w:val="FF67056B"/>
    <w:rsid w:val="FF67C8DB"/>
    <w:rsid w:val="FF6C7103"/>
    <w:rsid w:val="FF77F803"/>
    <w:rsid w:val="FF794AE4"/>
    <w:rsid w:val="FF7C225F"/>
    <w:rsid w:val="FF7D331D"/>
    <w:rsid w:val="FF7EBB7F"/>
    <w:rsid w:val="FF7F58CC"/>
    <w:rsid w:val="FF894FC3"/>
    <w:rsid w:val="FFADC649"/>
    <w:rsid w:val="FFADD28C"/>
    <w:rsid w:val="FFBF5F1E"/>
    <w:rsid w:val="FFBF6E4D"/>
    <w:rsid w:val="FFBFA9A8"/>
    <w:rsid w:val="FFBFF60F"/>
    <w:rsid w:val="FFD9C357"/>
    <w:rsid w:val="FFDBADAB"/>
    <w:rsid w:val="FFDD036D"/>
    <w:rsid w:val="FFDF8CBC"/>
    <w:rsid w:val="FFE7ED47"/>
    <w:rsid w:val="FFEBA26E"/>
    <w:rsid w:val="FFEF63C3"/>
    <w:rsid w:val="FFF5D60F"/>
    <w:rsid w:val="FFF71662"/>
    <w:rsid w:val="FFF7CCE1"/>
    <w:rsid w:val="FFF9070C"/>
    <w:rsid w:val="FFF911BE"/>
    <w:rsid w:val="FFF98AF1"/>
    <w:rsid w:val="FFFB989A"/>
    <w:rsid w:val="FFFC8889"/>
    <w:rsid w:val="FFFDDF53"/>
    <w:rsid w:val="FFFE576A"/>
    <w:rsid w:val="FFFE5E3C"/>
    <w:rsid w:val="FFFEC480"/>
    <w:rsid w:val="FFFF34B9"/>
    <w:rsid w:val="FFFF4FE6"/>
    <w:rsid w:val="FFFFB05A"/>
    <w:rsid w:val="FFFFE256"/>
    <w:rsid w:val="FFFFF46F"/>
    <w:rsid w:val="FFFFF6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6">
    <w:name w:val="Default Paragraph Font"/>
    <w:qFormat/>
    <w:uiPriority w:val="0"/>
  </w:style>
  <w:style w:type="table" w:default="1" w:styleId="8">
    <w:name w:val="Normal Table"/>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paragraph" w:styleId="5">
    <w:name w:val="footnote text"/>
    <w:basedOn w:val="1"/>
    <w:qFormat/>
    <w:uiPriority w:val="0"/>
    <w:pPr>
      <w:snapToGrid w:val="0"/>
      <w:jc w:val="left"/>
    </w:pPr>
    <w:rPr>
      <w:sz w:val="18"/>
    </w:rPr>
  </w:style>
  <w:style w:type="character" w:styleId="7">
    <w:name w:val="footnote reference"/>
    <w:basedOn w:val="6"/>
    <w:qFormat/>
    <w:uiPriority w:val="0"/>
    <w:rPr>
      <w:vertAlign w:val="superscript"/>
    </w:rPr>
  </w:style>
  <w:style w:type="character" w:customStyle="1" w:styleId="9">
    <w:name w:val="s1"/>
    <w:basedOn w:val="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11247</Words>
  <Characters>11414</Characters>
  <Paragraphs>17</Paragraphs>
  <ScaleCrop>false</ScaleCrop>
  <LinksUpToDate>false</LinksUpToDate>
  <CharactersWithSpaces>11450</CharactersWithSpaces>
  <Application>WPS Office_3.2.1.5071_F1E327BC-269C-435d-A152-05C5408002CA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2021-11-06T22:48:00Z</dcterms:created>
  <dc:creator>mac</dc:creator>
  <cp:lastModifiedBy>mac</cp:lastModifiedBy>
  <dcterms:modified xsi:type="dcterms:W3CDTF">2022-09-28T12:30:18Z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2052-3.2.1.5071</vt:lpwstr>
  </property>
</Properties>
</file>