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000001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微论文研究报告（范例）</w:t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3658"/>
        <w:gridCol w:w="1080"/>
        <w:gridCol w:w="2110"/>
      </w:tblGrid>
      <w:tr>
        <w:trPr>
          <w:trHeight w:val="661" w:hRule="exac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微论文标题</w:t>
            </w:r>
          </w:p>
        </w:tc>
        <w:tc>
          <w:tcPr>
            <w:tcW w:w="6848" w:type="dxa"/>
            <w:gridSpan w:val="3"/>
            <w:textDirection w:val="lrTb"/>
            <w:vAlign w:val="center"/>
          </w:tcPr>
          <w:p>
            <w:pPr>
              <w:pStyle w:val="000001"/>
              <w:spacing w:line="440" w:lineRule="exact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浅析湖南民歌的艺术特色——以《洗菜心》为例</w:t>
            </w:r>
          </w:p>
        </w:tc>
      </w:tr>
      <w:tr>
        <w:trPr>
          <w:trHeight w:val="611" w:hRule="exac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学院（部）</w:t>
            </w:r>
          </w:p>
        </w:tc>
        <w:tc>
          <w:tcPr>
            <w:tcW w:w="6848" w:type="dxa"/>
            <w:gridSpan w:val="3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智能技术学部**********学院</w:t>
            </w:r>
          </w:p>
        </w:tc>
      </w:tr>
      <w:tr>
        <w:trPr>
          <w:trHeight w:val="730" w:hRule="exac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专业</w:t>
            </w:r>
          </w:p>
        </w:tc>
        <w:tc>
          <w:tcPr>
            <w:tcW w:w="3658" w:type="dxa"/>
            <w:textDirection w:val="lrTb"/>
            <w:vAlign w:val="center"/>
          </w:tcPr>
          <w:p>
            <w:pPr>
              <w:pStyle w:val="000001"/>
              <w:spacing w:line="440" w:lineRule="exact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********</w:t>
            </w:r>
          </w:p>
        </w:tc>
        <w:tc>
          <w:tcPr>
            <w:tcW w:w="1080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班级号</w:t>
            </w:r>
          </w:p>
        </w:tc>
        <w:tc>
          <w:tcPr>
            <w:tcW w:w="2110" w:type="dxa"/>
            <w:textDirection w:val="lrTb"/>
            <w:vAlign w:val="center"/>
          </w:tcPr>
          <w:p>
            <w:pPr>
              <w:pStyle w:val="000001"/>
              <w:spacing w:line="440" w:lineRule="exact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*******</w:t>
            </w:r>
          </w:p>
        </w:tc>
      </w:tr>
      <w:tr>
        <w:trPr>
          <w:trHeight w:val="730" w:hRule="exac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作者</w:t>
            </w:r>
          </w:p>
        </w:tc>
        <w:tc>
          <w:tcPr>
            <w:tcW w:w="3658" w:type="dxa"/>
            <w:textDirection w:val="lrTb"/>
            <w:vAlign w:val="center"/>
          </w:tcPr>
          <w:p>
            <w:pPr>
              <w:pStyle w:val="000001"/>
              <w:spacing w:line="440" w:lineRule="exact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*******</w:t>
            </w:r>
          </w:p>
        </w:tc>
        <w:tc>
          <w:tcPr>
            <w:tcW w:w="1080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学号</w:t>
            </w:r>
          </w:p>
        </w:tc>
        <w:tc>
          <w:tcPr>
            <w:tcW w:w="2110" w:type="dxa"/>
            <w:textDirection w:val="lrTb"/>
            <w:vAlign w:val="center"/>
          </w:tcPr>
          <w:p>
            <w:pPr>
              <w:pStyle w:val="000001"/>
              <w:spacing w:line="440" w:lineRule="exact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*******</w:t>
            </w:r>
          </w:p>
        </w:tc>
      </w:tr>
      <w:tr>
        <w:trPr/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研究对象的定义</w:t>
            </w:r>
          </w:p>
          <w:p>
            <w:pPr>
              <w:pStyle w:val="000001"/>
              <w:spacing w:line="44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（300字左右）</w:t>
            </w:r>
          </w:p>
        </w:tc>
        <w:tc>
          <w:tcPr>
            <w:tcW w:w="6848" w:type="dxa"/>
            <w:gridSpan w:val="3"/>
            <w:textDirection w:val="lrTb"/>
            <w:vAlign w:val="center"/>
          </w:tcPr>
          <w:p>
            <w:pPr>
              <w:pStyle w:val="000001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民间歌曲，简称民歌。是劳动人民在生活和劳动中自己创作、自己演唱的歌曲。</w:t>
            </w:r>
          </w:p>
          <w:p>
            <w:pPr>
              <w:pStyle w:val="000001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他以口头创作、口头流传的方式生存在民间，并在流传过程中不断经受人民群众集体的筛选、改造、加工、提炼，随着岁月的流逝而日臻完美。</w:t>
            </w:r>
          </w:p>
          <w:p>
            <w:pPr>
              <w:pStyle w:val="000001"/>
              <w:ind w:firstLine="420" w:firstLineChars="20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《洗菜心》是一首湖南民歌，原是湖南地区脍炙人口的一首生活小调，后吸收到当地的花鼓戏中，成为花鼓戏的常用曲目。《洗菜心》是湖南地区脍炙人口的一首生活小调，歌曲曲调轻快、活泼。描述的是一位可爱的农家少女在河边洗菜心时跌落了金戒指的情景。生动的刻画了一个热爱生活，对未来抱有美好向往的少女形象。</w:t>
            </w:r>
          </w:p>
        </w:tc>
      </w:tr>
      <w:tr>
        <w:trPr/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文献综述及参考文献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（1000字以内）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一、文献综述：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《洗菜心》是以湖南传统民歌为基础而形成的新民歌，在原始的民歌材料上，将原来的两段扩展为现在的三段音乐，融入了地方音乐元素，形成一首具有独特风格和鲜明地域特色的湖南民歌。 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语言：是以长沙官话为音乐语言的，长沙官话主要流行于长沙、湘潭、株洲等地， 《洗菜心》是将长沙的地方语言和本地民间音乐相结合。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 润腔技巧：颤音、倚音、衬腔、衬词的运用 整首歌曲演唱出来给人的感觉应是灵巧的，俏皮，也就是在唱得时候既要搭上气，有气息的支持，又不能将气拉的过死，唱起来不够轻巧，让听者感觉像是在亲切的和你讲话，同时掌握整首歌曲的感情基调，情绪的变化过程，将声音与感情结合，这样才能达到最好的效果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节奏：伴奏大量的采用了切分音的节奏型以及弱起的节奏型，这些节奏的运用使音乐感觉十分的欢快。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曲式结构：采用单一调的三部曲式结构，使得歌曲在表达上更加层次分明，情感递进。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歌词内容：歌词通常表现对生活的热爱和赞美，以及对劳动生活的真实描绘。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二、文献来源：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deepseek：《洗菜心的歌曲介绍》</w:t>
            </w:r>
          </w:p>
          <w:p>
            <w:pPr>
              <w:pStyle w:val="000001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通义千问《洗菜心》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3、刘洋. 湖南民歌《洗菜心》的艺术特征与演唱分析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4、公众号世界华人，《艺术歌曲鉴赏》之《洗菜心》</w:t>
            </w:r>
          </w:p>
          <w:p>
            <w:pPr>
              <w:pStyle w:val="000001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5、</w:t>
            </w:r>
            <w:r>
              <w:rPr>
                <w:rFonts w:ascii="宋体" w:hAnsi="宋体"/>
                <w:szCs w:val="21"/>
              </w:rPr>
              <w:t>张梦云. 浅析湖南民歌《洗菜心》的起源及歌曲特征</w:t>
            </w:r>
          </w:p>
        </w:tc>
      </w:tr>
      <w:tr>
        <w:trPr/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研究观点1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（500字以内）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一、音乐特征</w:t>
            </w:r>
          </w:p>
          <w:p>
            <w:pPr>
              <w:pStyle w:val="000001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旋律优美：《洗菜心》的旋律悠扬流畅，充满了浓郁的地方色彩。它采用了湖南地方戏曲的音调特点，旋律线条丰富多变，既包含了高亢激昂的部分，也有婉转细腻之处，给人以深刻的印象。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节奏明快：该歌曲的节奏感强烈，具有鲜明的舞蹈性。通过轻快的节奏处理，使得整首歌曲充满活力，能够很好地表现出劳动人民乐观向上的生活态度。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方言特色：歌词中融入了大量的湖南方言元素，这不仅增强了歌曲的地方特色，也让听众更能感受到浓厚的地方风情。</w:t>
            </w:r>
          </w:p>
          <w:p>
            <w:pPr>
              <w:pStyle w:val="000001"/>
              <w:ind w:firstLine="420" w:firstLineChars="200"/>
              <w:rPr>
                <w:rFonts w:hint="eastAsia" w:ascii="宋体" w:hAnsi="宋体"/>
                <w:szCs w:val="21"/>
              </w:rPr>
            </w:pPr>
          </w:p>
        </w:tc>
      </w:tr>
      <w:tr>
        <w:trPr>
          <w:trHeight w:val="2528" w:hRule="atLeas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研究论述1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（300以内）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outlineLvl w:val="0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旋律优美：歌词中“洗菜心”三字常高亢有力，显得活泼俏皮。歌词“跌得奴家就好伤心哪”旋律婉转细腻，多使用装饰音、滑音等技巧。</w:t>
            </w:r>
          </w:p>
          <w:p>
            <w:pPr>
              <w:pStyle w:val="000001"/>
              <w:ind w:firstLine="420" w:firstLineChars="200"/>
              <w:outlineLvl w:val="0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节奏明快：采用每分钟96拍速度，有着俏皮、活力的基调。歌曲中使用大量附点与跳音，将女主人公衬托得活泼可爱。</w:t>
            </w:r>
          </w:p>
          <w:p>
            <w:pPr>
              <w:pStyle w:val="000001"/>
              <w:ind w:firstLine="420" w:firstLineChars="200"/>
              <w:outlineLvl w:val="0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方言特色：歌词中常以“啊”、“哪”、等语气词结尾，并且在旋律上有湖南地方特色。语言方面得注意到，歌曲中的“奴”念“lou”,“忽”念“fu,”在语言上极具湖南地方风味。</w:t>
            </w:r>
          </w:p>
        </w:tc>
      </w:tr>
      <w:tr>
        <w:trPr>
          <w:trHeight w:val="2177" w:hRule="atLeas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研究观点2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（500字以内）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outlineLvl w:val="0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二、歌词内容与表现手法</w:t>
            </w:r>
          </w:p>
          <w:p>
            <w:pPr>
              <w:pStyle w:val="000001"/>
              <w:ind w:firstLine="420" w:firstLineChars="200"/>
              <w:outlineLvl w:val="0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《洗菜心》的歌词内容贴近生活，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歌曲一开始以洗菜少女的身份就直接进入主题。讲述的是少女在闺房绣花被妈妈娘唤去洗菜的情景，这一部分速度适中，以主人公为第一视角进行事件叙述，节奏欢快且曲调歌词朗朗上口。</w:t>
            </w:r>
          </w:p>
        </w:tc>
      </w:tr>
      <w:tr>
        <w:trPr>
          <w:trHeight w:val="1604" w:hRule="atLeas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研究论述2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（300以内）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outlineLvl w:val="0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歌曲加入了一些跳音音符，加强了少女的俏皮活泼形象。在“哪一位年少的哥哥捡了奴的戒箍子”是使用了跳音的感觉，像是戒箍子掉入水中的感觉，同时“戒箍子”也是“戒指”的湖南方言的表达，通过方言与音乐技巧使得歌曲形象更贴合音乐本身。</w:t>
            </w:r>
          </w:p>
        </w:tc>
      </w:tr>
      <w:tr>
        <w:trPr>
          <w:trHeight w:val="2189" w:hRule="atLeas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研究观点3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0"/>
              </w:rPr>
              <w:t>（500字以内）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outlineLvl w:val="0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三、社会文化价值</w:t>
            </w:r>
          </w:p>
          <w:p>
            <w:pPr>
              <w:pStyle w:val="000001"/>
              <w:ind w:firstLine="420" w:firstLineChars="200"/>
              <w:outlineLvl w:val="0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从社会文化角度来看，《洗菜心》不仅是湖南地区人民精神文化生活的一部分，也是传承和发展地方文化的重要载体。它承载着历史记忆，反映了特定时期的社会风貌和人们的思想感情，对于研究湖南地区的民俗文化和音乐发展史有着重要的参考价值。</w:t>
            </w:r>
          </w:p>
        </w:tc>
      </w:tr>
      <w:tr>
        <w:trPr>
          <w:trHeight w:val="1617" w:hRule="atLeast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研究论述3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（300以内）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outlineLvl w:val="0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现在流传的《洗菜心》的版本很多，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但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无论这首《洗菜心》在后世如何变化发展，它的源头始终都是民歌，可以说没有民歌《洗菜心》就没有湖南花鼓戏《洗菜心》的发展。</w:t>
            </w:r>
          </w:p>
        </w:tc>
      </w:tr>
      <w:tr>
        <w:trPr/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总结提高</w:t>
            </w:r>
          </w:p>
          <w:p>
            <w:pPr>
              <w:pStyle w:val="000001"/>
              <w:spacing w:line="440" w:lineRule="exact"/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（500字左右）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ind w:firstLine="420" w:firstLineChars="200"/>
              <w:rPr/>
            </w:pPr>
            <w:r>
              <w:rPr/>
              <w:t>《洗菜心》以其独特的艺术魅力，在众多湖南民歌中脱颖而出，成为展现湖南音乐文化特色的典型范例。通过对这首歌曲的学习和欣赏，我们</w:t>
            </w:r>
            <w:r>
              <w:rPr>
                <w:rFonts w:hint="eastAsia"/>
              </w:rPr>
              <w:t>从旋律、节奏、歌词、语言、社会价值等方面，</w:t>
            </w:r>
            <w:r>
              <w:rPr/>
              <w:t>更深入地了解湖南地区的音乐风格，还能感受到中国传统文化的博大精深。它提醒着我们珍惜这份来自民间的艺术遗产，并努力将其传承下去，让更多的人认识和爱上中国的民间音乐文化。</w:t>
            </w:r>
          </w:p>
        </w:tc>
      </w:tr>
      <w:tr>
        <w:trPr>
          <w:wBefore/>
          <w:trHeight w:val="3386"/>
        </w:trPr>
        <w:tc>
          <w:tcPr>
            <w:tcW w:w="1548" w:type="dxa"/>
            <w:textDirection w:val="lrTb"/>
            <w:vAlign w:val="center"/>
          </w:tcPr>
          <w:p>
            <w:pPr>
              <w:pStyle w:val="000001"/>
              <w:spacing w:line="440" w:lineRule="exact"/>
              <w:ind/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6848" w:type="dxa"/>
            <w:gridSpan w:val="3"/>
            <w:textDirection w:val="lrTb"/>
            <w:vAlign w:val="top"/>
          </w:tcPr>
          <w:p>
            <w:pPr>
              <w:pStyle w:val="000001"/>
              <w:numPr/>
              <w:pBdr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课程期间，记录与民族民间音乐相关的事项，并由本人正面出镜，拍摄照片或视频。</w:t>
            </w:r>
          </w:p>
          <w:p>
            <w:pPr>
              <w:pStyle w:val="000001"/>
              <w:numPr/>
              <w:pBdr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图片标注为：学号姓名+具体地点+内容名称</w:t>
            </w:r>
          </w:p>
          <w:p>
            <w:pPr>
              <w:pStyle w:val="000001"/>
              <w:numPr/>
              <w:ind w:firstLine="480" w:firstLineChars="200"/>
              <w:rPr>
                <w:rFonts w:ascii="宋体" w:hAnsi="宋体"/>
                <w:sz w:val="24"/>
              </w:rPr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drawing>
                <wp:inline distT="0" distB="0" distL="0" distR="0">
                  <wp:extent cx="1304925" cy="1744250"/>
                  <wp:effectExtent l="0" t="0" r="0" b="0"/>
                  <wp:docPr id="2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" name="picture" descr="descript"/>
                          <pic:cNvPicPr/>
                        </pic:nvPicPr>
                        <pic:blipFill rotWithShape="true">
                          <a:blip r:embed="rId4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04925" cy="174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t>2211010101陈某某+湖北省博物馆+曾侯乙编钟</w:t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drawing>
                <wp:inline distT="0" distB="0" distL="0" distR="0">
                  <wp:extent cx="1847850" cy="1407303"/>
                  <wp:effectExtent l="0" t="0" r="0" b="0"/>
                  <wp:docPr id="5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picture" descr="descript"/>
                          <pic:cNvPicPr/>
                        </pic:nvPicPr>
                        <pic:blipFill rotWithShape="true">
                          <a:blip r:embed="rId5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47850" cy="140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t>2211010101陈某某+上海闵行博物馆+大钵小钵</w:t>
            </w:r>
          </w:p>
          <w:p>
            <w:pPr>
              <w:pStyle w:val="000001"/>
              <w:numPr/>
              <w:pBdr/>
              <w:ind w:firstLineChars="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drawing>
                <wp:inline distT="0" distB="0" distL="0" distR="0">
                  <wp:extent cx="1763799" cy="2466975"/>
                  <wp:effectExtent l="0" t="0" r="0" b="0"/>
                  <wp:docPr id="8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picture" descr="descript"/>
                          <pic:cNvPicPr/>
                        </pic:nvPicPr>
                        <pic:blipFill rotWithShape="true">
                          <a:blip r:embed="rId6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63799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t>2211010101陈某某+上海闵行博物馆+四弦曲项琵琶</w:t>
            </w:r>
          </w:p>
          <w:p>
            <w:pPr>
              <w:pStyle w:val="000001"/>
              <w:numPr/>
              <w:pBdr/>
              <w:ind w:firstLineChars="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drawing>
                <wp:inline distT="0" distB="0" distL="0" distR="0">
                  <wp:extent cx="2318808" cy="3071470"/>
                  <wp:effectExtent l="0" t="0" r="0" b="0"/>
                  <wp:docPr id="11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picture" descr="descript"/>
                          <pic:cNvPicPr/>
                        </pic:nvPicPr>
                        <pic:blipFill rotWithShape="true">
                          <a:blip r:embed="rId7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318808" cy="30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numPr/>
              <w:pBdr/>
              <w:ind w:firstLine="420" w:firstLineChars="200"/>
              <w:rPr>
                <w:rFonts w:ascii="Helvetica" w:hAnsi="Helvetica" w:cs="Helvetica"/>
                <w:i w:val="false"/>
                <w:strike w:val="false"/>
                <w:spacing w:val="0"/>
                <w:u w:val="none"/>
              </w:rPr>
            </w:pPr>
            <w:r>
              <w:rPr/>
              <w:t>2211010101陈某某+上海奉贤九棵树艺术中心+</w:t>
            </w:r>
            <w:r>
              <w:rPr>
                <w:rFonts w:ascii="Helvetica" w:hAnsi="Helvetica" w:cs="Helvetica"/>
                <w:i w:val="false"/>
                <w:strike w:val="false"/>
                <w:spacing w:val="0"/>
                <w:u w:val="none"/>
              </w:rPr>
              <w:t>「百场未来大师」系列一“清梦明志·贰”断章民族室内乐团专场音乐会</w:t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drawing>
                <wp:inline distT="0" distB="0" distL="0" distR="0">
                  <wp:extent cx="3157656" cy="3204480"/>
                  <wp:effectExtent l="0" t="0" r="0" b="0"/>
                  <wp:docPr id="14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" name="picture" descr="descript"/>
                          <pic:cNvPicPr/>
                        </pic:nvPicPr>
                        <pic:blipFill rotWithShape="true">
                          <a:blip r:embed="rId8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157656" cy="32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t>2211010101陈某某+广西某市某村+舞龙</w:t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drawing>
                <wp:inline distT="0" distB="0" distL="0" distR="0">
                  <wp:extent cx="2782358" cy="2509022"/>
                  <wp:effectExtent l="0" t="0" r="0" b="0"/>
                  <wp:docPr id="17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picture" descr="descript"/>
                          <pic:cNvPicPr/>
                        </pic:nvPicPr>
                        <pic:blipFill rotWithShape="true">
                          <a:blip r:embed="rId9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82358" cy="25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  <w:r>
              <w:rPr/>
              <w:t>2211010101陈某某+国家大剧院+京剧《白蛇传》（李胜素老师）</w:t>
            </w: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numPr/>
              <w:pBdr/>
              <w:ind w:firstLine="420" w:firstLineChars="200"/>
              <w:rPr/>
            </w:pPr>
          </w:p>
          <w:p>
            <w:pPr>
              <w:pStyle w:val="000001"/>
              <w:ind w:firstLine="420" w:firstLineChars="200"/>
              <w:rPr/>
            </w:pPr>
          </w:p>
        </w:tc>
      </w:tr>
    </w:tbl>
    <w:p>
      <w:pPr>
        <w:rPr/>
      </w:pPr>
    </w:p>
    <w:sectPr>
      <w:footerReference r:id="rId3" w:type="default"/>
      <w:type w:val="nextPage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w="http://schemas.openxmlformats.org/wordprocessingml/2006/main">
  <w:font w:name="仿宋">
    <w:panose1 w:val="02010609060101010101"/>
    <w:charset w:val="86" w:characterSet="ISO-8859-1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 w:characterSet="ISO-8859-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 w:characterSet="ISO-8859-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 w:characterSet="ISO-8859-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 w:characterSet="ISO-8859-1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 w:characterSet="ISO-8859-1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v="urn:schemas-microsoft-com:vml" xmlns:o="urn:schemas-microsoft-com:office:office">
  <w:p>
    <w:pPr>
      <w:pStyle w:val="000006"/>
      <w:rPr/>
    </w:pPr>
  </w:p>
  <w:p>
    <w:pPr>
      <w:pStyle w:val="000006"/>
      <w:rPr/>
    </w:pPr>
    <w:r>
      <w:rPr/>
      <w:pict>
        <v:shapetype id="_x0000_t202" coordsize="21600,21600" o:spt="202" path="m,l,21600r21600,l21600,xe">
          <v:stroke joinstyle="miter"/>
          <v:path gradientshapeok="t" o:extrusionok="f"/>
          <o:lock v:ext="edit" aspectratio="t"/>
        </v:shapetype>
        <v:shape id="00000d" style="position:absolute;mso-wrap-style:none;mso-position-horizontal-relative:margin;mso-position-vertical-relative:text;z-index:524288;mso-position-horizontal:center;margin-left:0pt;margin-top:0pt;width:144pt;height:144pt;" filled="f" stroked="f" type="#_x0000_t202">
          <v:textbox style="mso-fit-shape-to-text:t;" inset="0pt,0pt,0pt,0pt">
            <w:txbxContent>
              <w:p>
                <w:pPr>
                  <w:pStyle w:val="000006"/>
                  <w:rPr/>
                </w:pPr>
                <w:r>
                  <w:rPr/>
                  <w:fldChar w:fldCharType="begin"/>
                </w:r>
                <w:r>
                  <w:rPr/>
                  <w:instrText xml:space="preserve"> PAGE  \* MERGEFORMAT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  <w:p>
                <w:pPr>
                  <w:pStyle w:val="000001"/>
                  <w:rPr/>
                </w:pPr>
              </w:p>
            </w:txbxContent>
          </v:textbox>
        </v:shape>
      </w:pict>
    </w:r>
  </w:p>
</w:ftr>
</file>

<file path=word/settings.xml><?xml version="1.0" encoding="utf-8"?>
<w:settings xmlns:w="http://schemas.openxmlformats.org/wordprocessingml/2006/main">
  <w:zoom w:percent="70"/>
  <w:stylePaneFormatFilter/>
  <w:defaultTabStop w:val="420"/>
  <w:displayHorizontalDrawingGridEvery w:val="1"/>
  <w:displayVerticalDrawingGridEvery w:val="1"/>
  <w:noPunctuationKerning/>
  <w:characterSpacingControl w:val="compressPunctuation"/>
  <w:footnotePr/>
  <w:compat>
    <w:balanceSingleByteDoubleByteWidth/>
    <w:doNotLeaveBackslashAlone/>
    <w:ulTrailSpace/>
    <w:doNotExpandShiftReturn/>
    <w:adjustLineHeightInTable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 w:val="006941A1"/>
    <w:rsid w:val="00CE657B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lang w:val="en-US"/>
      </w:rPr>
    </w:rPrDefault>
    <w:pPrDefault>
      <w:pPr/>
    </w:pPrDefault>
  </w:docDefaults>
  <w:style w:type="paragraph" w:styleId="000007">
    <w:name w:val="header"/>
    <w:basedOn w:val="000001"/>
    <w:next w:val="000007"/>
    <w:link w:val="000001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leader="none" w:pos="4153"/>
        <w:tab w:val="right" w:leader="none" w:pos="8306"/>
      </w:tabs>
      <w:spacing w:line="240" w:lineRule="auto"/>
      <w:jc w:val="both"/>
      <w:outlineLvl w:val="9"/>
    </w:pPr>
    <w:rPr>
      <w:sz w:val="18"/>
    </w:rPr>
  </w:style>
  <w:style w:type="character" w:styleId="000009">
    <w:name w:val="Strong"/>
    <w:next w:val="000009"/>
    <w:link w:val="000001"/>
    <w:qFormat/>
    <w:rPr>
      <w:b/>
    </w:rPr>
  </w:style>
  <w:style w:type="numbering" w:styleId="000005">
    <w:name w:val="No List"/>
    <w:next w:val="000005"/>
    <w:link w:val="000001"/>
    <w:uiPriority w:val="99"/>
    <w:semiHidden/>
    <w:unhideWhenUsed/>
  </w:style>
  <w:style w:type="table" w:styleId="000004">
    <w:name w:val="Normal Table"/>
    <w:next w:val="000004"/>
    <w:link w:val="000001"/>
    <w:semiHidden/>
    <w:qFormat/>
  </w:style>
  <w:style w:type="paragraph" w:styleId="000008">
    <w:name w:val="Normal (Web)"/>
    <w:basedOn w:val="000001"/>
    <w:next w:val="000008"/>
    <w:link w:val="000001"/>
    <w:pPr>
      <w:spacing w:before="100" w:beforeAutospacing="true" w:after="100" w:afterAutospacing="true"/>
      <w:ind w:left="0" w:right="0"/>
      <w:jc w:val="left"/>
    </w:pPr>
    <w:rPr>
      <w:kern w:val="0"/>
      <w:sz w:val="24"/>
      <w:lang w:val="en-US" w:eastAsia="zh-CN" w:bidi="ar"/>
    </w:rPr>
  </w:style>
  <w:style w:type="character" w:styleId="000003">
    <w:name w:val="Default Paragraph Font"/>
    <w:next w:val="000003"/>
    <w:link w:val="000001"/>
    <w:semiHidden/>
  </w:style>
  <w:style w:type="paragraph" w:styleId="000002">
    <w:name w:val="heading 1"/>
    <w:basedOn w:val="000001"/>
    <w:next w:val="000001"/>
    <w:link w:val="000001"/>
    <w:qFormat/>
    <w:pPr>
      <w:spacing w:before="100" w:beforeAutospacing="true" w:after="100" w:afterAutospacing="true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000001">
    <w:name w:val="Normal"/>
    <w:aliases w:val="正文"/>
    <w:next w:val="000001"/>
    <w:link w:val="000001"/>
    <w:qFormat/>
    <w:pPr>
      <w:widowControl w:val="false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paragraph" w:styleId="000006">
    <w:name w:val="footer"/>
    <w:basedOn w:val="000001"/>
    <w:next w:val="000006"/>
    <w:link w:val="000001"/>
    <w:pPr>
      <w:tabs>
        <w:tab w:val="center" w:leader="none" w:pos="4153"/>
        <w:tab w:val="right" w:leader="none" w:pos="8306"/>
      </w:tabs>
      <w:jc w:val="left"/>
    </w:pPr>
    <w:rPr>
      <w:sz w:val="18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png" /><Relationship Id="rId8" Type="http://schemas.openxmlformats.org/officeDocument/2006/relationships/image" Target="media/image5.jpg" /><Relationship Id="rId1" Type="http://schemas.openxmlformats.org/officeDocument/2006/relationships/settings" Target="settings.xml" /><Relationship Id="rId9" Type="http://schemas.openxmlformats.org/officeDocument/2006/relationships/image" Target="media/image6.jp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6" Type="http://schemas.openxmlformats.org/officeDocument/2006/relationships/image" Target="media/image3.png" /><Relationship Id="rId3" Type="http://schemas.openxmlformats.org/officeDocument/2006/relationships/footer" Target="footer1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2025-03-27T09:46:18Z</dcterms:created>
  <dcterms:modified xsi:type="dcterms:W3CDTF">2025-03-27T09:46:18Z</dcterms:modified>
</cp:coreProperties>
</file>