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2C3633">
      <w:pPr>
        <w:jc w:val="center"/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</w:pPr>
      <w:r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  <w:t>学生主题教育活动记录表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6"/>
        <w:gridCol w:w="2981"/>
        <w:gridCol w:w="886"/>
        <w:gridCol w:w="3969"/>
      </w:tblGrid>
      <w:tr w14:paraId="47A5FF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686" w:type="dxa"/>
            <w:vAlign w:val="top"/>
          </w:tcPr>
          <w:p w14:paraId="62D8435E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活动主题</w:t>
            </w:r>
          </w:p>
        </w:tc>
        <w:tc>
          <w:tcPr>
            <w:tcW w:w="7836" w:type="dxa"/>
            <w:gridSpan w:val="3"/>
            <w:vAlign w:val="center"/>
          </w:tcPr>
          <w:p w14:paraId="21E0AB47">
            <w:pPr>
              <w:pStyle w:val="5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ascii="华文楷体" w:hAnsi="华文楷体" w:eastAsia="华文楷体" w:cs="华文楷体"/>
                <w:color w:val="000000"/>
                <w:sz w:val="28"/>
                <w:szCs w:val="28"/>
              </w:rPr>
              <w:t> </w:t>
            </w:r>
            <w:bookmarkStart w:id="0" w:name="_GoBack"/>
            <w:r>
              <w:rPr>
                <w:rFonts w:ascii="华文楷体" w:hAnsi="华文楷体" w:eastAsia="华文楷体" w:cs="华文楷体"/>
                <w:color w:val="000000"/>
                <w:sz w:val="28"/>
                <w:szCs w:val="28"/>
              </w:rPr>
              <w:t xml:space="preserve"> 《筑牢中华民族共同体意识》班会</w:t>
            </w:r>
            <w:bookmarkEnd w:id="0"/>
          </w:p>
        </w:tc>
      </w:tr>
      <w:tr w14:paraId="305AA6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686" w:type="dxa"/>
            <w:vAlign w:val="top"/>
          </w:tcPr>
          <w:p w14:paraId="7C7FEBAC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辅导员</w:t>
            </w:r>
          </w:p>
        </w:tc>
        <w:tc>
          <w:tcPr>
            <w:tcW w:w="2981" w:type="dxa"/>
            <w:vAlign w:val="center"/>
          </w:tcPr>
          <w:p w14:paraId="544122F8">
            <w:pPr>
              <w:pStyle w:val="5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华文楷体" w:hAnsi="华文楷体" w:eastAsia="华文楷体" w:cs="华文楷体"/>
                <w:color w:val="000000"/>
                <w:sz w:val="28"/>
                <w:szCs w:val="28"/>
              </w:rPr>
              <w:t>颜彦婷</w:t>
            </w:r>
          </w:p>
        </w:tc>
        <w:tc>
          <w:tcPr>
            <w:tcW w:w="886" w:type="dxa"/>
            <w:vAlign w:val="center"/>
          </w:tcPr>
          <w:p w14:paraId="0984DCF4">
            <w:pPr>
              <w:pStyle w:val="5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</w:pPr>
            <w:r>
              <w:rPr>
                <w:rFonts w:hint="default" w:ascii="华文楷体" w:hAnsi="华文楷体" w:eastAsia="华文楷体" w:cs="华文楷体"/>
                <w:b/>
                <w:bCs/>
                <w:color w:val="000000"/>
                <w:sz w:val="28"/>
                <w:szCs w:val="28"/>
              </w:rPr>
              <w:t>形式</w:t>
            </w:r>
          </w:p>
        </w:tc>
        <w:tc>
          <w:tcPr>
            <w:tcW w:w="3969" w:type="dxa"/>
            <w:vAlign w:val="center"/>
          </w:tcPr>
          <w:p w14:paraId="4AD35513">
            <w:pPr>
              <w:pStyle w:val="5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华文楷体" w:hAnsi="华文楷体" w:eastAsia="华文楷体" w:cs="华文楷体"/>
                <w:color w:val="000000"/>
                <w:sz w:val="28"/>
                <w:szCs w:val="28"/>
              </w:rPr>
              <w:t>主题班会</w:t>
            </w:r>
          </w:p>
        </w:tc>
      </w:tr>
      <w:tr w14:paraId="7ABF6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686" w:type="dxa"/>
            <w:vAlign w:val="top"/>
          </w:tcPr>
          <w:p w14:paraId="14358341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班级</w:t>
            </w:r>
          </w:p>
        </w:tc>
        <w:tc>
          <w:tcPr>
            <w:tcW w:w="2981" w:type="dxa"/>
            <w:vAlign w:val="center"/>
          </w:tcPr>
          <w:p w14:paraId="153C435C">
            <w:pPr>
              <w:pStyle w:val="5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华文楷体" w:hAnsi="华文楷体" w:eastAsia="华文楷体" w:cs="华文楷体"/>
                <w:color w:val="000000"/>
                <w:sz w:val="28"/>
                <w:szCs w:val="28"/>
              </w:rPr>
              <w:t>造价2301、造价2302班、建管2303班、建管2304班</w:t>
            </w:r>
          </w:p>
        </w:tc>
        <w:tc>
          <w:tcPr>
            <w:tcW w:w="886" w:type="dxa"/>
            <w:vAlign w:val="center"/>
          </w:tcPr>
          <w:p w14:paraId="4CA581B7">
            <w:pPr>
              <w:pStyle w:val="5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</w:pPr>
            <w:r>
              <w:rPr>
                <w:rFonts w:hint="default" w:ascii="华文楷体" w:hAnsi="华文楷体" w:eastAsia="华文楷体" w:cs="华文楷体"/>
                <w:b/>
                <w:bCs/>
                <w:color w:val="000000"/>
                <w:sz w:val="28"/>
                <w:szCs w:val="28"/>
              </w:rPr>
              <w:t>参加人数</w:t>
            </w:r>
          </w:p>
        </w:tc>
        <w:tc>
          <w:tcPr>
            <w:tcW w:w="3969" w:type="dxa"/>
            <w:vAlign w:val="center"/>
          </w:tcPr>
          <w:p w14:paraId="679FFE8D">
            <w:pPr>
              <w:pStyle w:val="5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华文楷体" w:hAnsi="华文楷体" w:eastAsia="华文楷体" w:cs="华文楷体"/>
                <w:color w:val="000000"/>
                <w:sz w:val="28"/>
                <w:szCs w:val="28"/>
              </w:rPr>
              <w:t>205</w:t>
            </w:r>
          </w:p>
        </w:tc>
      </w:tr>
      <w:tr w14:paraId="663AF1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86" w:type="dxa"/>
            <w:vAlign w:val="top"/>
          </w:tcPr>
          <w:p w14:paraId="36E447CC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时间</w:t>
            </w:r>
          </w:p>
        </w:tc>
        <w:tc>
          <w:tcPr>
            <w:tcW w:w="2981" w:type="dxa"/>
            <w:vAlign w:val="center"/>
          </w:tcPr>
          <w:p w14:paraId="404A3973">
            <w:pPr>
              <w:pStyle w:val="5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华文楷体" w:hAnsi="华文楷体" w:eastAsia="华文楷体" w:cs="华文楷体"/>
                <w:color w:val="000000"/>
                <w:sz w:val="28"/>
                <w:szCs w:val="28"/>
              </w:rPr>
              <w:t>2025年3月</w:t>
            </w:r>
          </w:p>
        </w:tc>
        <w:tc>
          <w:tcPr>
            <w:tcW w:w="886" w:type="dxa"/>
            <w:vAlign w:val="center"/>
          </w:tcPr>
          <w:p w14:paraId="08F0A7B7">
            <w:pPr>
              <w:pStyle w:val="5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</w:pPr>
            <w:r>
              <w:rPr>
                <w:rFonts w:hint="default" w:ascii="华文楷体" w:hAnsi="华文楷体" w:eastAsia="华文楷体" w:cs="华文楷体"/>
                <w:b/>
                <w:bCs/>
                <w:color w:val="000000"/>
                <w:sz w:val="28"/>
                <w:szCs w:val="28"/>
              </w:rPr>
              <w:t>地点</w:t>
            </w:r>
          </w:p>
        </w:tc>
        <w:tc>
          <w:tcPr>
            <w:tcW w:w="3969" w:type="dxa"/>
            <w:vAlign w:val="center"/>
          </w:tcPr>
          <w:p w14:paraId="103F7E33">
            <w:pPr>
              <w:pStyle w:val="5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华文楷体" w:hAnsi="华文楷体" w:eastAsia="华文楷体" w:cs="华文楷体"/>
                <w:color w:val="000000"/>
                <w:sz w:val="28"/>
                <w:szCs w:val="28"/>
              </w:rPr>
              <w:t>2教202、605</w:t>
            </w:r>
          </w:p>
        </w:tc>
      </w:tr>
      <w:tr w14:paraId="663EB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0" w:hRule="atLeast"/>
        </w:trPr>
        <w:tc>
          <w:tcPr>
            <w:tcW w:w="686" w:type="dxa"/>
            <w:vAlign w:val="top"/>
          </w:tcPr>
          <w:p w14:paraId="48D40001"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198A92BB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 w14:paraId="3546577B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纪要</w:t>
            </w:r>
          </w:p>
        </w:tc>
        <w:tc>
          <w:tcPr>
            <w:tcW w:w="7836" w:type="dxa"/>
            <w:gridSpan w:val="3"/>
            <w:vAlign w:val="top"/>
          </w:tcPr>
          <w:p w14:paraId="68FE6C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600" w:firstLineChars="20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为增强同学们的筑牢中华民族共同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体意识，</w:t>
            </w:r>
            <w:r>
              <w:rPr>
                <w:rFonts w:hint="default" w:ascii="方正仿宋_GB2312" w:hAnsi="方正仿宋_GB2312" w:eastAsia="方正仿宋_GB2312" w:cs="方正仿宋_GB2312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造价2301、造价2302班、建管2303班、建管2304班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在开学初开展了 “筑牢中华民族共同体意识” 主题班会。</w:t>
            </w:r>
          </w:p>
          <w:p w14:paraId="372B1B93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Style w:val="9"/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404040"/>
                <w:spacing w:val="0"/>
                <w:sz w:val="30"/>
                <w:szCs w:val="30"/>
              </w:rPr>
              <w:t>“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从广西到中国——为什么筑牢中华民族共同体意识与我们息息相关？”</w:t>
            </w:r>
          </w:p>
          <w:p w14:paraId="1DEDBC64"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1. 导入：从广西三月三说起——我们为什么共享这个节日？</w:t>
            </w:r>
          </w:p>
          <w:p w14:paraId="5FFE7632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0" w:afterAutospacing="0" w:line="360" w:lineRule="auto"/>
              <w:ind w:left="720" w:right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提问互动：</w:t>
            </w:r>
          </w:p>
          <w:p w14:paraId="34D5806C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1440" w:right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“三月三原本是壮族的传统节日，为什么现在广西全区都放假庆祝？”</w:t>
            </w:r>
          </w:p>
          <w:p w14:paraId="0B586414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1440" w:right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“你的汉族/瑶族/苗族同学是怎么过三月三的？”</w:t>
            </w:r>
          </w:p>
          <w:p w14:paraId="4022F041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0" w:afterAutospacing="0" w:line="360" w:lineRule="auto"/>
              <w:ind w:left="720" w:right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关键点：</w:t>
            </w:r>
          </w:p>
          <w:p w14:paraId="5953078A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1440" w:right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政策支持：2014年起，广西将“壮族三月三”设为全区公共假日，让各民族共同庆祝。</w:t>
            </w:r>
          </w:p>
          <w:p w14:paraId="6CA15E7D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1440" w:right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文化共享：如今的三月三不仅是壮族的文化，更是广西各族人民的共同节日（如瑶族的长鼓舞、苗族的芦笙表演也融入其中）。</w:t>
            </w:r>
          </w:p>
          <w:p w14:paraId="5B915308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1440" w:right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经济受益：文旅融合带动广西经济发展，比如桂林、柳州等地的“三月三”旅游收入增长。</w:t>
            </w:r>
          </w:p>
          <w:p w14:paraId="5F4CF186"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2. 为什么要筑牢中华民族共同体意识？</w:t>
            </w:r>
          </w:p>
          <w:p w14:paraId="0E935BC6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（1）历史维度：中华民族从来就是一个命运共同体</w:t>
            </w:r>
          </w:p>
          <w:p w14:paraId="1BE0BA8B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0" w:afterAutospacing="0" w:line="360" w:lineRule="auto"/>
              <w:ind w:left="720" w:right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案例1：广西的“狼兵”与抗倭战争</w:t>
            </w:r>
          </w:p>
          <w:p w14:paraId="39B35571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1440" w:right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明代，广西壮族土司兵（狼兵）奔赴江浙抗倭，与汉族将士并肩作战。</w:t>
            </w:r>
          </w:p>
          <w:p w14:paraId="33E849A8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1440" w:right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思考：如果没有各民族共同抵御外敌，中国历史会怎样？</w:t>
            </w:r>
          </w:p>
          <w:p w14:paraId="0C9FF501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0" w:afterAutospacing="0" w:line="360" w:lineRule="auto"/>
              <w:ind w:left="720" w:right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案例2：红军长征过广西</w:t>
            </w:r>
          </w:p>
          <w:p w14:paraId="17AA2D11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1440" w:right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湘江战役中，广西各族群众帮助红军渡江，瑶族向导带路突围。</w:t>
            </w:r>
          </w:p>
          <w:p w14:paraId="4CD5CF5D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1440" w:right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数据：广西有数万少数民族群众支援红军。</w:t>
            </w:r>
          </w:p>
          <w:p w14:paraId="5B731EA7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720" w:right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结论：中华民族的生存与发展，靠的是各民族的团结奋斗。</w:t>
            </w:r>
          </w:p>
          <w:p w14:paraId="20174FB7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（2）现实维度：团结才能应对挑战</w:t>
            </w:r>
          </w:p>
          <w:p w14:paraId="65EE6200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0" w:afterAutospacing="0" w:line="360" w:lineRule="auto"/>
              <w:ind w:left="720" w:right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案例1：广西脱贫攻坚战中的“民族合力”</w:t>
            </w:r>
          </w:p>
          <w:p w14:paraId="4700A3E8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1440" w:right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2020年广西脱贫，少数民族地区如大化、都安等县，靠的是**“粤桂协作”+“本地特色产业”**（如瑶族刺绣、壮族桑蚕业）。</w:t>
            </w:r>
          </w:p>
          <w:p w14:paraId="545EB5C4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1440" w:right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数据：广东对口帮扶广西，带动超100万少数民族群众脱贫。</w:t>
            </w:r>
          </w:p>
          <w:p w14:paraId="2F7797B9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（3）未来维度：中华民族的伟大复兴需要共同奋斗</w:t>
            </w:r>
          </w:p>
          <w:p w14:paraId="6F620BB0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0" w:afterAutospacing="0" w:line="360" w:lineRule="auto"/>
              <w:ind w:left="720" w:right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案例1：西部大开发与广西机遇</w:t>
            </w:r>
          </w:p>
          <w:p w14:paraId="61348EA1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1440" w:right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平陆运河建设（全国各族工程师参与）、北部湾经济区（多民族共同就业）。</w:t>
            </w:r>
          </w:p>
          <w:p w14:paraId="0285AFCA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1440" w:right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提问：如果各民族互相排斥，这些大工程能顺利推进吗？</w:t>
            </w:r>
          </w:p>
          <w:p w14:paraId="0CD9B68B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720" w:right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结论：中国的未来，需要所有民族一起努力，而不是某一部分人单打独斗。</w:t>
            </w:r>
          </w:p>
          <w:p w14:paraId="7F05B97B"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3. 大学生如何践行中华民族共同体意识？</w:t>
            </w:r>
          </w:p>
          <w:p w14:paraId="1E28920A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0" w:afterAutospacing="0" w:line="360" w:lineRule="auto"/>
              <w:ind w:left="720" w:right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① 从身边小事做起</w:t>
            </w:r>
          </w:p>
          <w:p w14:paraId="7FCE56FD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1440" w:right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在宿舍里，尊重不同民族的习惯（如斋月、饮食禁忌）。</w:t>
            </w:r>
          </w:p>
          <w:p w14:paraId="56B2EE12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1440" w:right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参与学校的民族文化活动（如三月三歌圩、民族体育比赛）。</w:t>
            </w:r>
          </w:p>
          <w:p w14:paraId="0C0D2311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0" w:afterAutospacing="0" w:line="360" w:lineRule="auto"/>
              <w:ind w:left="720" w:right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③ 警惕错误观念</w:t>
            </w:r>
          </w:p>
          <w:p w14:paraId="684C199F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1440" w:right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不传播“某民族就该怎样”的刻板印象。</w:t>
            </w:r>
          </w:p>
          <w:p w14:paraId="04C905E7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1440" w:right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不因个别事件否定整个民族。</w:t>
            </w:r>
          </w:p>
          <w:p w14:paraId="60818F8C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【结尾升华】</w:t>
            </w:r>
          </w:p>
          <w:p w14:paraId="1FE95352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0" w:afterAutospacing="0" w:line="360" w:lineRule="auto"/>
              <w:ind w:left="720" w:right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金句总结：</w:t>
            </w:r>
          </w:p>
          <w:p w14:paraId="5682D968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1440" w:right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“在中国，56个民族就像56个星座，共同组成璀璨的星河。”</w:t>
            </w:r>
          </w:p>
          <w:p w14:paraId="4623AAA3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1440" w:right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“我们不是因为一样才团结，而是因为团结才能让不一样变得更有价值。”</w:t>
            </w:r>
          </w:p>
          <w:p w14:paraId="3A6ACA5E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0" w:afterAutospacing="0" w:line="360" w:lineRule="auto"/>
              <w:ind w:left="720" w:right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号召行动：</w:t>
            </w:r>
          </w:p>
          <w:p w14:paraId="2FA4AC24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1440" w:right="0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“下次吃五色饭时，想想它为什么是五种颜色——因为多样，才更美好。</w:t>
            </w:r>
          </w:p>
          <w:p w14:paraId="09FC5A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 w14:paraId="6CE22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4" w:hRule="atLeast"/>
        </w:trPr>
        <w:tc>
          <w:tcPr>
            <w:tcW w:w="686" w:type="dxa"/>
            <w:vAlign w:val="top"/>
          </w:tcPr>
          <w:p w14:paraId="4A8AD7F1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18F6AFDB">
            <w:pPr>
              <w:ind w:firstLine="281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</w:t>
            </w:r>
          </w:p>
          <w:p w14:paraId="36C7656B">
            <w:pPr>
              <w:ind w:firstLine="281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动</w:t>
            </w:r>
          </w:p>
          <w:p w14:paraId="47ED38E0">
            <w:pPr>
              <w:ind w:firstLine="281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图</w:t>
            </w:r>
          </w:p>
          <w:p w14:paraId="66EBE896">
            <w:pPr>
              <w:ind w:firstLine="281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片</w:t>
            </w:r>
          </w:p>
        </w:tc>
        <w:tc>
          <w:tcPr>
            <w:tcW w:w="7836" w:type="dxa"/>
            <w:gridSpan w:val="3"/>
            <w:vAlign w:val="top"/>
          </w:tcPr>
          <w:p w14:paraId="5BAAB08C">
            <w:pPr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573270" cy="3430270"/>
                  <wp:effectExtent l="0" t="0" r="17780" b="17780"/>
                  <wp:docPr id="9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270" cy="343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4B1117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791710" cy="2152650"/>
                  <wp:effectExtent l="0" t="0" r="8890" b="0"/>
                  <wp:docPr id="10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71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199A64"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1EBAA6DB">
            <w:pPr>
              <w:jc w:val="both"/>
            </w:pPr>
          </w:p>
          <w:p w14:paraId="020ECF26">
            <w:pPr>
              <w:jc w:val="both"/>
            </w:pPr>
          </w:p>
          <w:p w14:paraId="2A4F3D69">
            <w:pPr>
              <w:jc w:val="both"/>
            </w:pPr>
          </w:p>
          <w:p w14:paraId="2EDCC5C8">
            <w:pPr>
              <w:jc w:val="both"/>
            </w:pPr>
          </w:p>
          <w:p w14:paraId="2711B7F7">
            <w:pPr>
              <w:jc w:val="both"/>
            </w:pPr>
          </w:p>
          <w:p w14:paraId="3CDAAE2A">
            <w:pPr>
              <w:jc w:val="both"/>
            </w:pPr>
          </w:p>
          <w:p w14:paraId="2254FD2B">
            <w:pPr>
              <w:jc w:val="both"/>
              <w:rPr>
                <w:rFonts w:hint="eastAsia"/>
                <w:lang w:val="en-US" w:eastAsia="zh-CN"/>
              </w:rPr>
            </w:pPr>
          </w:p>
        </w:tc>
      </w:tr>
      <w:tr w14:paraId="6F8DA1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4" w:hRule="atLeast"/>
        </w:trPr>
        <w:tc>
          <w:tcPr>
            <w:tcW w:w="686" w:type="dxa"/>
            <w:vAlign w:val="top"/>
          </w:tcPr>
          <w:p w14:paraId="695350E6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7836" w:type="dxa"/>
            <w:gridSpan w:val="3"/>
            <w:vAlign w:val="top"/>
          </w:tcPr>
          <w:p w14:paraId="09A7CC52">
            <w:pPr>
              <w:jc w:val="both"/>
            </w:pPr>
          </w:p>
          <w:p w14:paraId="0BECB463">
            <w:pPr>
              <w:jc w:val="both"/>
            </w:pPr>
          </w:p>
          <w:p w14:paraId="45C9A244">
            <w:pPr>
              <w:jc w:val="both"/>
            </w:pPr>
          </w:p>
          <w:p w14:paraId="07679698">
            <w:pPr>
              <w:jc w:val="both"/>
            </w:pPr>
          </w:p>
          <w:p w14:paraId="6071C9F0">
            <w:pPr>
              <w:jc w:val="both"/>
            </w:pPr>
          </w:p>
        </w:tc>
      </w:tr>
      <w:tr w14:paraId="48AE9B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4" w:hRule="atLeast"/>
        </w:trPr>
        <w:tc>
          <w:tcPr>
            <w:tcW w:w="686" w:type="dxa"/>
            <w:vAlign w:val="top"/>
          </w:tcPr>
          <w:p w14:paraId="683C509C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7836" w:type="dxa"/>
            <w:gridSpan w:val="3"/>
            <w:vAlign w:val="top"/>
          </w:tcPr>
          <w:p w14:paraId="0400501C">
            <w:pPr>
              <w:jc w:val="both"/>
            </w:pPr>
          </w:p>
          <w:p w14:paraId="7385D874">
            <w:pPr>
              <w:jc w:val="both"/>
            </w:pPr>
          </w:p>
          <w:p w14:paraId="7EFE4B51">
            <w:pPr>
              <w:jc w:val="both"/>
            </w:pPr>
          </w:p>
          <w:p w14:paraId="2B58DEAB">
            <w:pPr>
              <w:jc w:val="both"/>
            </w:pPr>
          </w:p>
          <w:p w14:paraId="266391B1">
            <w:pPr>
              <w:jc w:val="both"/>
            </w:pPr>
          </w:p>
          <w:p w14:paraId="5C5D466E">
            <w:pPr>
              <w:jc w:val="both"/>
            </w:pPr>
          </w:p>
          <w:p w14:paraId="49FE7C55">
            <w:pPr>
              <w:jc w:val="both"/>
            </w:pPr>
          </w:p>
          <w:p w14:paraId="16B7A50A">
            <w:pPr>
              <w:jc w:val="both"/>
            </w:pPr>
          </w:p>
        </w:tc>
      </w:tr>
    </w:tbl>
    <w:p w14:paraId="77028D5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  <w:embedRegular r:id="rId1" w:fontKey="{331C650D-CF4A-42BA-A124-F15E4A2ED3C9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华文楷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152D88EC-269A-4760-BB1E-795E2F0E9A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VjZGRlYThmZWU4NDhjZDc2ZWQxMTFjNDgxYmZjOTcifQ=="/>
  </w:docVars>
  <w:rsids>
    <w:rsidRoot w:val="1E003258"/>
    <w:rsid w:val="015E3387"/>
    <w:rsid w:val="067110AC"/>
    <w:rsid w:val="10CF451A"/>
    <w:rsid w:val="1ADA64DC"/>
    <w:rsid w:val="1CAD7FE3"/>
    <w:rsid w:val="1E003258"/>
    <w:rsid w:val="2725262A"/>
    <w:rsid w:val="28D77087"/>
    <w:rsid w:val="3058119F"/>
    <w:rsid w:val="3FDE70E9"/>
    <w:rsid w:val="41966C37"/>
    <w:rsid w:val="42883A60"/>
    <w:rsid w:val="4CAF4694"/>
    <w:rsid w:val="4DF15B76"/>
    <w:rsid w:val="50A26F82"/>
    <w:rsid w:val="5E4751D3"/>
    <w:rsid w:val="612D0114"/>
    <w:rsid w:val="6699316B"/>
    <w:rsid w:val="6C5910EF"/>
    <w:rsid w:val="74CD5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3">
    <w:name w:val="heading 4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3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paragraph" w:styleId="4">
    <w:name w:val="heading 5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4"/>
    </w:pPr>
    <w:rPr>
      <w:rFonts w:hint="eastAsia" w:ascii="宋体" w:hAnsi="宋体" w:eastAsia="宋体" w:cs="宋体"/>
      <w:b/>
      <w:bCs/>
      <w:kern w:val="0"/>
      <w:sz w:val="20"/>
      <w:szCs w:val="20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1051</Words>
  <Characters>1095</Characters>
  <Lines>0</Lines>
  <Paragraphs>0</Paragraphs>
  <TotalTime>6</TotalTime>
  <ScaleCrop>false</ScaleCrop>
  <LinksUpToDate>false</LinksUpToDate>
  <CharactersWithSpaces>1104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2022-04-04T01:11:00Z</dcterms:created>
  <dc:creator>DELL</dc:creator>
  <cp:lastModifiedBy>叉叉惠</cp:lastModifiedBy>
  <dcterms:modified xsi:type="dcterms:W3CDTF">2025-03-27T07:49:42Z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C79EAF6A11824FEC9F2279F8907DED73_13</vt:lpwstr>
  </property>
  <property fmtid="{D5CDD505-2E9C-101B-9397-08002B2CF9AE}" pid="4" name="KSOTemplateDocerSaveRecord">
    <vt:lpwstr>eyJoZGlkIjoiNGM1NWFlNGUwZGY4ZDA3YjE1ZGNiYzEzZjFjYzE3Y2QiLCJ1c2VySWQiOiIyNjQwNTMxNzIifQ==</vt:lpwstr>
  </property>
</Properties>
</file>