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rPr>
          <w:rFonts w:hint="eastAsia" w:ascii="黑体" w:hAnsi="黑体" w:eastAsia="黑体" w:cs="黑体"/>
          <w:color w:val="0000FF"/>
          <w:sz w:val="28"/>
          <w:szCs w:val="36"/>
          <w:lang w:val="en-US" w:eastAsia="zh-CN"/>
        </w:rPr>
      </w:pPr>
      <w:r>
        <w:rPr>
          <w:rFonts w:hint="eastAsia" w:ascii="黑体" w:hAnsi="黑体" w:eastAsia="黑体" w:cs="黑体"/>
          <w:color w:val="0000FF"/>
          <w:sz w:val="28"/>
          <w:szCs w:val="36"/>
          <w:lang w:val="en-US" w:eastAsia="zh-CN"/>
        </w:rPr>
        <w:t>为什么21世纪被称为海洋世纪</w:t>
      </w:r>
    </w:p>
    <w:p>
      <w:pPr>
        <w:numPr>
          <w:ilvl w:val="0"/>
          <w:numId w:val="0"/>
        </w:numPr>
        <w:spacing w:line="360" w:lineRule="auto"/>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21世纪被称为海洋世纪是因为人类对海洋的研究和认识越来越深入，同时海洋在地球生态系统和人类社会生活中的重要性也越来越突出。</w:t>
      </w:r>
    </w:p>
    <w:p>
      <w:pPr>
        <w:numPr>
          <w:ilvl w:val="0"/>
          <w:numId w:val="0"/>
        </w:numPr>
        <w:spacing w:line="360" w:lineRule="auto"/>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首先，海洋是地球上最重要的资源之一。海洋占据了地球表面的71%，并且拥有丰富的生物资源、矿产资源和能源。随着人口的增长和经济的发展，陆地资源的开发程度使得人类对海洋资源的依赖程度不断增加，陆地资源已经无法满足人类生存发展的资源需要了。</w:t>
      </w:r>
    </w:p>
    <w:p>
      <w:pPr>
        <w:numPr>
          <w:ilvl w:val="0"/>
          <w:numId w:val="0"/>
        </w:numPr>
        <w:spacing w:line="360" w:lineRule="auto"/>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其次，海洋是人类生存和发展的重要领域。海洋不仅为人类提供了大量的食物和能源，还是全球贸易和运输的重要通道。同时，海洋还承担着调节全球气候和生态系统的重要作用。人类一些不加节制的开发破坏了整个海洋生态系统的平衡，导致海洋对于人类的生存的影响也显现出了消极的一面。</w:t>
      </w:r>
    </w:p>
    <w:p>
      <w:pPr>
        <w:numPr>
          <w:ilvl w:val="0"/>
          <w:numId w:val="0"/>
        </w:numPr>
        <w:spacing w:line="360" w:lineRule="auto"/>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此外，随着科技的发展，人类对海洋的认知和开发能力也不断提高。海洋科技的发展为人类提供了更多的机会和挑战，如深海探测和海洋可再生资源开发。同时也带来了一些新的风险和挑战，如海底矿产资源如何开发、深海生物资源的未知性等。</w:t>
      </w:r>
    </w:p>
    <w:p>
      <w:pPr>
        <w:numPr>
          <w:ilvl w:val="0"/>
          <w:numId w:val="0"/>
        </w:numPr>
        <w:spacing w:line="360" w:lineRule="auto"/>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而从中国的角度看，21世纪是海洋世纪更加明确。由习近平总书记为首的中共中央领导人多次强调要加快建设海洋强国。着力推进海洋可持续发展十年的愿景，倡导“海洋命运共同体”。近代以来，我国深耕蓝色国土，不断推进海洋强国的建设，推进海洋经济的高质量发展，并且注重人海和谐，这一切都说明了21世纪是海洋世纪，健康的海洋是海洋强国的根本要求</w:t>
      </w:r>
      <w:r>
        <w:rPr>
          <w:rFonts w:hint="eastAsia" w:ascii="黑体" w:hAnsi="黑体" w:eastAsia="黑体" w:cs="黑体"/>
          <w:sz w:val="24"/>
          <w:szCs w:val="24"/>
          <w:lang w:val="en-US" w:eastAsia="zh-CN"/>
        </w:rPr>
        <w:t>。</w:t>
      </w:r>
    </w:p>
    <w:p>
      <w:pPr>
        <w:numPr>
          <w:ilvl w:val="0"/>
          <w:numId w:val="0"/>
        </w:numPr>
        <w:spacing w:line="360" w:lineRule="auto"/>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因此，21世纪被称为海洋世纪，体现了人类对海洋的极度重视和关注。同时，这个认知也促进了各国之间的海洋合作和发展，推动了海洋科技的进步和创新。维护海洋生态平衡成为各个国家的共识，为人类更好地利用和管理海洋资源提供了更好的机遇和条件。</w:t>
      </w:r>
    </w:p>
    <w:p>
      <w:pPr>
        <w:numPr>
          <w:ilvl w:val="0"/>
          <w:numId w:val="0"/>
        </w:numPr>
        <w:spacing w:line="360" w:lineRule="auto"/>
        <w:rPr>
          <w:rFonts w:hint="default" w:ascii="黑体" w:hAnsi="黑体" w:eastAsia="黑体" w:cs="黑体"/>
          <w:sz w:val="24"/>
          <w:szCs w:val="24"/>
          <w:lang w:val="en-US" w:eastAsia="zh-CN"/>
        </w:rPr>
      </w:pPr>
    </w:p>
    <w:p>
      <w:pPr>
        <w:numPr>
          <w:ilvl w:val="0"/>
          <w:numId w:val="1"/>
        </w:numPr>
        <w:spacing w:line="360" w:lineRule="auto"/>
        <w:ind w:left="0" w:leftChars="0" w:firstLine="0" w:firstLineChars="0"/>
        <w:rPr>
          <w:rFonts w:hint="eastAsia" w:ascii="黑体" w:hAnsi="黑体" w:eastAsia="黑体" w:cs="黑体"/>
          <w:color w:val="0000FF"/>
          <w:sz w:val="24"/>
          <w:szCs w:val="24"/>
          <w:lang w:val="en-US" w:eastAsia="zh-CN"/>
        </w:rPr>
      </w:pPr>
      <w:r>
        <w:rPr>
          <w:rFonts w:hint="eastAsia" w:ascii="黑体" w:hAnsi="黑体" w:eastAsia="黑体" w:cs="黑体"/>
          <w:color w:val="0000FF"/>
          <w:sz w:val="28"/>
          <w:szCs w:val="28"/>
          <w:lang w:val="en-US" w:eastAsia="zh-CN"/>
        </w:rPr>
        <w:t>群岛基线的作用</w:t>
      </w:r>
    </w:p>
    <w:p>
      <w:pPr>
        <w:numPr>
          <w:ilvl w:val="0"/>
          <w:numId w:val="0"/>
        </w:numPr>
        <w:spacing w:line="360" w:lineRule="auto"/>
        <w:ind w:leftChars="0" w:firstLine="480" w:firstLineChars="20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①是作为测算群岛国领海和其他海洋区域宽度的起算线。它连接群岛最外缘各岛和各干礁的最外缘各点构成的直线基线，但不能偏离群岛轮廓，同时也不能将其他国家的领海与公海或专属经济区隔断。</w:t>
      </w:r>
    </w:p>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群岛基线的作用可以与领海基线相关联。</w:t>
      </w:r>
    </w:p>
    <w:p>
      <w:pPr>
        <w:numPr>
          <w:ilvl w:val="0"/>
          <w:numId w:val="0"/>
        </w:numPr>
        <w:spacing w:line="360" w:lineRule="auto"/>
        <w:ind w:firstLine="480" w:firstLineChars="20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②确定领海宽度：群岛基线是计算领海宽度的重要依据。根据国际法，领海的宽度从基线开始向外延伸不超过12海里。因此，群岛基线在确定领海范围方面具有关键作用。</w:t>
      </w:r>
    </w:p>
    <w:p>
      <w:pPr>
        <w:numPr>
          <w:ilvl w:val="0"/>
          <w:numId w:val="0"/>
        </w:numPr>
        <w:spacing w:line="360" w:lineRule="auto"/>
        <w:ind w:firstLine="480" w:firstLineChars="20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③表示群岛主权：通过划定群岛基线，群岛国表明其对群岛的主权。这是国际法所承认的主权标志之一。</w:t>
      </w:r>
    </w:p>
    <w:p>
      <w:pPr>
        <w:numPr>
          <w:ilvl w:val="0"/>
          <w:numId w:val="0"/>
        </w:numPr>
        <w:spacing w:line="360" w:lineRule="auto"/>
        <w:ind w:firstLine="480" w:firstLineChars="20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④防止无害通过：群岛基线可以防止外国船只在群岛国内水或领海内进行无害通过。如果外国船只在未经许可的情况下通过群岛国内水或领海，群岛国可以通过采取必要的措施进行拦截和驱逐。</w:t>
      </w:r>
    </w:p>
    <w:p>
      <w:pPr>
        <w:numPr>
          <w:ilvl w:val="0"/>
          <w:numId w:val="0"/>
        </w:numPr>
        <w:spacing w:line="360" w:lineRule="auto"/>
        <w:ind w:firstLine="480" w:firstLineChars="20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⑤保护海洋资源：群岛基线可以保护群岛国的海洋资源，特别是渔业资源。通过划定基线，群岛国可以控制进入其专属经济区的外国船只，防止非法捕捞和开采。</w:t>
      </w:r>
    </w:p>
    <w:p>
      <w:pPr>
        <w:numPr>
          <w:ilvl w:val="0"/>
          <w:numId w:val="0"/>
        </w:numPr>
        <w:spacing w:line="360" w:lineRule="auto"/>
        <w:ind w:firstLine="480" w:firstLineChars="20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⑥维护国家安全：群岛基线也是维护国家安全的重要手段之一。通过控制进入其领海和专属经济区的外国船只，群岛国可以防止非法进入和侦察活动，从而保护其国家安全。</w:t>
      </w:r>
    </w:p>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总结起来，群岛基线的作用是与领海基线相关联的，它确定了领海的宽度，表示了群岛国的主权，防止了无害通过，保护了海洋资源，并维护了国家安全。</w:t>
      </w:r>
    </w:p>
    <w:p>
      <w:pPr>
        <w:numPr>
          <w:ilvl w:val="0"/>
          <w:numId w:val="0"/>
        </w:numPr>
        <w:spacing w:line="360" w:lineRule="auto"/>
        <w:rPr>
          <w:rFonts w:hint="eastAsia" w:ascii="黑体" w:hAnsi="黑体" w:eastAsia="黑体" w:cs="黑体"/>
          <w:sz w:val="24"/>
          <w:szCs w:val="24"/>
          <w:lang w:val="en-US" w:eastAsia="zh-CN"/>
        </w:rPr>
      </w:pPr>
    </w:p>
    <w:p>
      <w:pPr>
        <w:numPr>
          <w:ilvl w:val="0"/>
          <w:numId w:val="0"/>
        </w:numPr>
        <w:spacing w:line="360" w:lineRule="auto"/>
        <w:rPr>
          <w:rFonts w:hint="default" w:ascii="黑体" w:hAnsi="黑体" w:eastAsia="黑体" w:cs="黑体"/>
          <w:color w:val="0000FF"/>
          <w:sz w:val="24"/>
          <w:szCs w:val="24"/>
          <w:lang w:val="en-US" w:eastAsia="zh-CN"/>
        </w:rPr>
      </w:pPr>
      <w:r>
        <w:rPr>
          <w:rFonts w:hint="eastAsia" w:ascii="黑体" w:hAnsi="黑体" w:eastAsia="黑体" w:cs="黑体"/>
          <w:color w:val="0000FF"/>
          <w:sz w:val="24"/>
          <w:szCs w:val="24"/>
          <w:lang w:val="en-US" w:eastAsia="zh-CN"/>
        </w:rPr>
        <w:t>3.</w:t>
      </w:r>
      <w:r>
        <w:rPr>
          <w:rFonts w:hint="eastAsia" w:ascii="黑体" w:hAnsi="黑体" w:eastAsia="黑体" w:cs="黑体"/>
          <w:color w:val="0000FF"/>
          <w:sz w:val="28"/>
          <w:szCs w:val="28"/>
          <w:lang w:val="en-US" w:eastAsia="zh-CN"/>
        </w:rPr>
        <w:t>专属经济区的法律地位</w:t>
      </w:r>
    </w:p>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①较主导地位是专属管辖区，既非领海也非公海，其地位是自成一类的。</w:t>
      </w:r>
    </w:p>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②在《海洋法公约》第55条“专属经济区特定法律制度”中规定，“专属经济区是领海以外并邻接领海的一个区域，受本部分规定的特定法律制度制约，在这个制度下，沿海国的权利和管辖权以及其他国家的权利的自由均受公约有关规定的支配”。</w:t>
      </w:r>
    </w:p>
    <w:p>
      <w:pPr>
        <w:numPr>
          <w:ilvl w:val="0"/>
          <w:numId w:val="0"/>
        </w:numPr>
        <w:spacing w:line="360" w:lineRule="auto"/>
        <w:rPr>
          <w:rFonts w:hint="eastAsia" w:ascii="黑体" w:hAnsi="黑体" w:eastAsia="黑体" w:cs="黑体"/>
          <w:sz w:val="24"/>
          <w:szCs w:val="24"/>
          <w:lang w:val="en-US" w:eastAsia="zh-CN"/>
        </w:rPr>
      </w:pPr>
    </w:p>
    <w:p>
      <w:pPr>
        <w:numPr>
          <w:ilvl w:val="0"/>
          <w:numId w:val="0"/>
        </w:numPr>
        <w:spacing w:line="360" w:lineRule="auto"/>
        <w:ind w:leftChars="0"/>
        <w:rPr>
          <w:rFonts w:hint="eastAsia" w:ascii="黑体" w:hAnsi="黑体" w:eastAsia="黑体" w:cs="黑体"/>
          <w:color w:val="0000FF"/>
          <w:sz w:val="28"/>
          <w:szCs w:val="28"/>
          <w:lang w:val="en-US" w:eastAsia="zh-CN"/>
        </w:rPr>
      </w:pPr>
      <w:r>
        <w:rPr>
          <w:rFonts w:hint="eastAsia" w:ascii="黑体" w:hAnsi="黑体" w:eastAsia="黑体" w:cs="黑体"/>
          <w:color w:val="0000FF"/>
          <w:sz w:val="24"/>
          <w:szCs w:val="24"/>
          <w:lang w:val="en-US" w:eastAsia="zh-CN"/>
        </w:rPr>
        <w:t>4.</w:t>
      </w:r>
      <w:r>
        <w:rPr>
          <w:rFonts w:hint="eastAsia" w:ascii="黑体" w:hAnsi="黑体" w:eastAsia="黑体" w:cs="黑体"/>
          <w:color w:val="0000FF"/>
          <w:sz w:val="28"/>
          <w:szCs w:val="28"/>
          <w:lang w:val="en-US" w:eastAsia="zh-CN"/>
        </w:rPr>
        <w:t>公海包括哪些部分</w:t>
      </w:r>
    </w:p>
    <w:p>
      <w:pPr>
        <w:numPr>
          <w:ilvl w:val="0"/>
          <w:numId w:val="0"/>
        </w:numPr>
        <w:spacing w:line="360" w:lineRule="auto"/>
        <w:ind w:leftChars="0"/>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根据1982年《联合国海洋法公约》，公海包括以下部分：</w:t>
      </w:r>
    </w:p>
    <w:p>
      <w:pPr>
        <w:numPr>
          <w:ilvl w:val="0"/>
          <w:numId w:val="0"/>
        </w:numPr>
        <w:spacing w:line="360" w:lineRule="auto"/>
        <w:ind w:leftChars="0"/>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各国内水、领海、群岛水域和专属经济区以外不受任何国家主权管辖和支配的海洋的所有部分。简单来说，公海是国际海域的一部分，不属于任何国家的管辖范围。</w:t>
      </w:r>
    </w:p>
    <w:p>
      <w:pPr>
        <w:numPr>
          <w:ilvl w:val="0"/>
          <w:numId w:val="0"/>
        </w:numPr>
        <w:spacing w:line="360" w:lineRule="auto"/>
        <w:ind w:leftChars="0"/>
        <w:rPr>
          <w:rFonts w:hint="default" w:ascii="黑体" w:hAnsi="黑体" w:eastAsia="黑体" w:cs="黑体"/>
          <w:sz w:val="24"/>
          <w:szCs w:val="24"/>
          <w:lang w:val="en-US" w:eastAsia="zh-CN"/>
        </w:rPr>
      </w:pPr>
    </w:p>
    <w:p>
      <w:pPr>
        <w:numPr>
          <w:ilvl w:val="0"/>
          <w:numId w:val="2"/>
        </w:numPr>
        <w:spacing w:line="360" w:lineRule="auto"/>
        <w:ind w:leftChars="0"/>
        <w:rPr>
          <w:rFonts w:hint="eastAsia" w:ascii="黑体" w:hAnsi="黑体" w:eastAsia="黑体" w:cs="黑体"/>
          <w:color w:val="0000FF"/>
          <w:sz w:val="28"/>
          <w:szCs w:val="28"/>
          <w:lang w:val="en-US" w:eastAsia="zh-CN"/>
        </w:rPr>
      </w:pPr>
      <w:r>
        <w:rPr>
          <w:rFonts w:hint="eastAsia" w:ascii="黑体" w:hAnsi="黑体" w:eastAsia="黑体" w:cs="黑体"/>
          <w:color w:val="0000FF"/>
          <w:sz w:val="28"/>
          <w:szCs w:val="28"/>
          <w:lang w:val="en-US" w:eastAsia="zh-CN"/>
        </w:rPr>
        <w:t>国际海底区域的法律地位</w:t>
      </w:r>
    </w:p>
    <w:p>
      <w:pPr>
        <w:numPr>
          <w:ilvl w:val="0"/>
          <w:numId w:val="0"/>
        </w:numPr>
        <w:spacing w:line="360" w:lineRule="auto"/>
        <w:ind w:firstLine="480" w:firstLineChars="200"/>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无主物”即先占有即占优势，那些海洋强国可凭借自身科技优势占有国际海底区域的海洋资源，获取利益。“共有物”即大家共有的物品，但因为国际海底区域的资源并非取之不尽、用之不竭，而且不容易分割和分配。如果将其视为无主物或共有物,可能导致任何国家或实体都可以自由开采资源，进而引发资源争夺和冲突。且这些规定的最大获利者永远是海洋强国，海洋开发技术落后的国家就会处于劣势地位。因此不能界定为“无主物”和“共有物”。</w:t>
      </w:r>
    </w:p>
    <w:p>
      <w:pPr>
        <w:numPr>
          <w:ilvl w:val="0"/>
          <w:numId w:val="0"/>
        </w:numPr>
        <w:spacing w:line="360" w:lineRule="auto"/>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首先，国际海底区域是位于国家管辖范围以外的区域，其资源是全人类的共同继承财产，这体现了全人类共同开发利用海底资源的理念。</w:t>
      </w:r>
    </w:p>
    <w:p>
      <w:pPr>
        <w:numPr>
          <w:ilvl w:val="0"/>
          <w:numId w:val="0"/>
        </w:numPr>
        <w:spacing w:line="360" w:lineRule="auto"/>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其次，国际海底区域的管理机构是国际海底管理局，它负责代表全人类管理和开发海底资源。管理局的最高机关是大会，由所有成员国组成。理事会是管理局的执行机关，负责协调和监督《公约》规定的所有事项的实施。企业部则负责勘探和开发海底资源。</w:t>
      </w:r>
    </w:p>
    <w:p>
      <w:pPr>
        <w:numPr>
          <w:ilvl w:val="0"/>
          <w:numId w:val="0"/>
        </w:numPr>
        <w:spacing w:line="360" w:lineRule="auto"/>
        <w:ind w:firstLine="480" w:firstLineChars="200"/>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此外，《公约》还规定了平行开发制度，即在一海底区域被勘探后，开发申请者要向管理局提供两块具有同等价值的矿址，由管理局选择其中一块作为保留区，留待自己直接开发；另一块由申请者开发。这种制度体现了对发展中国家的特别照顾。</w:t>
      </w:r>
    </w:p>
    <w:p>
      <w:pPr>
        <w:numPr>
          <w:ilvl w:val="0"/>
          <w:numId w:val="0"/>
        </w:numPr>
        <w:spacing w:line="360" w:lineRule="auto"/>
        <w:ind w:firstLine="480" w:firstLineChars="200"/>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然而，《公约》的普遍性有待提高，只有大多数国家签字并交存批准书后才能生效。目前发达国家尚未广泛加入《公约》，这在一定程度上影响了其原则的普遍确认。</w:t>
      </w:r>
    </w:p>
    <w:p>
      <w:pPr>
        <w:numPr>
          <w:ilvl w:val="0"/>
          <w:numId w:val="0"/>
        </w:numPr>
        <w:spacing w:line="360" w:lineRule="auto"/>
        <w:ind w:firstLine="480" w:firstLineChars="200"/>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因此，国际海底区域的法律地位之所以不是“无主物”、“共有物”，而是“人类的共同继承财产”，是因为《联合国海洋法公约》中明确规定，国际海底区域及其资源是人类的共同继承财产。任何国家都不能对区域及其资源主张或行使主权或主权权利，任何国家或自然人或法人都不能把区域及其资源的任何部分据为己有。对资源开发的一切权利属于全人类，由国际海底管理局代表全人类进行管理。区域的开发要为全人类谋福利，各国都有公平地享受海底资源收益的权利，特别要照顾到发展中国家和未取得独立的国家的人民的利益。因此，国际海底区域的法律地位是“人类的共同继承财产”。</w:t>
      </w:r>
    </w:p>
    <w:p>
      <w:pPr>
        <w:numPr>
          <w:ilvl w:val="0"/>
          <w:numId w:val="0"/>
        </w:numPr>
        <w:spacing w:line="360" w:lineRule="auto"/>
        <w:rPr>
          <w:rFonts w:hint="default" w:ascii="黑体" w:hAnsi="黑体" w:eastAsia="黑体" w:cs="黑体"/>
          <w:sz w:val="24"/>
          <w:szCs w:val="24"/>
          <w:lang w:val="en-US" w:eastAsia="zh-CN"/>
        </w:rPr>
      </w:pPr>
    </w:p>
    <w:p>
      <w:pPr>
        <w:numPr>
          <w:ilvl w:val="0"/>
          <w:numId w:val="2"/>
        </w:numPr>
        <w:spacing w:line="360" w:lineRule="auto"/>
        <w:ind w:left="0" w:leftChars="0" w:firstLine="0" w:firstLineChars="0"/>
        <w:rPr>
          <w:rFonts w:hint="eastAsia" w:ascii="黑体" w:hAnsi="黑体" w:eastAsia="黑体" w:cs="黑体"/>
          <w:color w:val="0000FF"/>
          <w:sz w:val="28"/>
          <w:szCs w:val="28"/>
          <w:lang w:val="en-US" w:eastAsia="zh-CN"/>
        </w:rPr>
      </w:pPr>
      <w:r>
        <w:rPr>
          <w:rFonts w:hint="eastAsia" w:ascii="黑体" w:hAnsi="黑体" w:eastAsia="黑体" w:cs="黑体"/>
          <w:color w:val="0000FF"/>
          <w:sz w:val="28"/>
          <w:szCs w:val="28"/>
          <w:lang w:val="en-US" w:eastAsia="zh-CN"/>
        </w:rPr>
        <w:t>中国的领海基线属于哪一种</w:t>
      </w:r>
    </w:p>
    <w:p>
      <w:pPr>
        <w:numPr>
          <w:numId w:val="0"/>
        </w:numPr>
        <w:spacing w:line="360" w:lineRule="auto"/>
        <w:ind w:leftChars="0"/>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直线基线</w:t>
      </w:r>
    </w:p>
    <w:p>
      <w:pPr>
        <w:numPr>
          <w:ilvl w:val="0"/>
          <w:numId w:val="2"/>
        </w:numPr>
        <w:spacing w:line="360" w:lineRule="auto"/>
        <w:ind w:left="0" w:leftChars="0" w:firstLine="0" w:firstLineChars="0"/>
        <w:rPr>
          <w:rFonts w:hint="eastAsia" w:ascii="黑体" w:hAnsi="黑体" w:eastAsia="黑体" w:cs="黑体"/>
          <w:color w:val="0000FF"/>
          <w:sz w:val="28"/>
          <w:szCs w:val="28"/>
          <w:lang w:val="en-US" w:eastAsia="zh-CN"/>
        </w:rPr>
      </w:pPr>
      <w:r>
        <w:rPr>
          <w:rFonts w:hint="eastAsia" w:ascii="黑体" w:hAnsi="黑体" w:eastAsia="黑体" w:cs="黑体"/>
          <w:color w:val="0000FF"/>
          <w:sz w:val="28"/>
          <w:szCs w:val="28"/>
          <w:lang w:val="en-US" w:eastAsia="zh-CN"/>
        </w:rPr>
        <w:t>中国用哪种方法确定领海外部界限，用图简单画出</w:t>
      </w:r>
    </w:p>
    <w:p>
      <w:pPr>
        <w:numPr>
          <w:numId w:val="0"/>
        </w:numPr>
        <w:spacing w:line="360" w:lineRule="auto"/>
        <w:ind w:leftChars="0"/>
        <w:rPr>
          <w:rFonts w:hint="eastAsia" w:ascii="黑体" w:hAnsi="黑体" w:eastAsia="黑体" w:cs="黑体"/>
          <w:sz w:val="28"/>
          <w:szCs w:val="28"/>
          <w:lang w:val="en-US" w:eastAsia="zh-CN"/>
        </w:rPr>
      </w:pPr>
      <w:r>
        <w:rPr>
          <w:rFonts w:hint="eastAsia" w:ascii="黑体" w:hAnsi="黑体" w:eastAsia="黑体" w:cs="黑体"/>
          <w:sz w:val="24"/>
          <w:szCs w:val="24"/>
          <w:lang w:val="en-US" w:eastAsia="zh-CN"/>
        </w:rPr>
        <w:t>共同正切线法，在基线上选择适当的点为圆心，以领海宽度为半径向外划出系列半圆，然后划出每两个半圆之间的共同正切线为领海的外部界限。</w:t>
      </w:r>
    </w:p>
    <w:p>
      <w:pPr>
        <w:numPr>
          <w:numId w:val="0"/>
        </w:numPr>
        <w:spacing w:line="360" w:lineRule="auto"/>
        <w:ind w:leftChars="0"/>
        <w:rPr>
          <w:rFonts w:hint="default" w:ascii="黑体" w:hAnsi="黑体" w:eastAsia="黑体" w:cs="黑体"/>
          <w:sz w:val="28"/>
          <w:szCs w:val="28"/>
          <w:lang w:val="en-US" w:eastAsia="zh-CN"/>
        </w:rPr>
      </w:pPr>
      <w:r>
        <w:rPr>
          <w:rFonts w:hint="default" w:ascii="黑体" w:hAnsi="黑体" w:eastAsia="黑体" w:cs="黑体"/>
          <w:sz w:val="28"/>
          <w:szCs w:val="28"/>
          <w:lang w:val="en-US" w:eastAsia="zh-CN"/>
        </w:rPr>
        <w:drawing>
          <wp:inline distT="0" distB="0" distL="114300" distR="114300">
            <wp:extent cx="2228850" cy="4124325"/>
            <wp:effectExtent l="0" t="0" r="3175" b="6350"/>
            <wp:docPr id="1" name="图片 1" descr="4A3AE315948F4BEBB985B286B0040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A3AE315948F4BEBB985B286B0040818"/>
                    <pic:cNvPicPr>
                      <a:picLocks noChangeAspect="1"/>
                    </pic:cNvPicPr>
                  </pic:nvPicPr>
                  <pic:blipFill>
                    <a:blip r:embed="rId4"/>
                    <a:srcRect l="17161" t="14879" r="29439" b="11011"/>
                    <a:stretch>
                      <a:fillRect/>
                    </a:stretch>
                  </pic:blipFill>
                  <pic:spPr>
                    <a:xfrm rot="16200000">
                      <a:off x="0" y="0"/>
                      <a:ext cx="2228850" cy="4124325"/>
                    </a:xfrm>
                    <a:prstGeom prst="rect">
                      <a:avLst/>
                    </a:prstGeom>
                  </pic:spPr>
                </pic:pic>
              </a:graphicData>
            </a:graphic>
          </wp:inline>
        </w:draw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2D5C1A"/>
    <w:multiLevelType w:val="singleLevel"/>
    <w:tmpl w:val="762D5C1A"/>
    <w:lvl w:ilvl="0" w:tentative="0">
      <w:start w:val="5"/>
      <w:numFmt w:val="decimal"/>
      <w:lvlText w:val="%1."/>
      <w:lvlJc w:val="left"/>
      <w:pPr>
        <w:tabs>
          <w:tab w:val="left" w:pos="312"/>
        </w:tabs>
      </w:pPr>
    </w:lvl>
  </w:abstractNum>
  <w:abstractNum w:abstractNumId="1">
    <w:nsid w:val="7F3475D4"/>
    <w:multiLevelType w:val="singleLevel"/>
    <w:tmpl w:val="7F3475D4"/>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wOGM3MzYxYWU3NGUyZGU5NTM0NDI5ZGZiNDhjMDYifQ=="/>
  </w:docVars>
  <w:rsids>
    <w:rsidRoot w:val="65216400"/>
    <w:rsid w:val="65216400"/>
    <w:rsid w:val="773B25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2023-11-24T09:33:00Z</dcterms:created>
  <dc:creator>刘抒情t</dc:creator>
  <cp:lastModifiedBy>刘抒情t</cp:lastModifiedBy>
  <dcterms:modified xsi:type="dcterms:W3CDTF">2023-11-26T01:28:22Z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63322B0D123740818A23157526E33A5F_11</vt:lpwstr>
  </property>
</Properties>
</file>