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71135" cy="4959985"/>
            <wp:effectExtent l="0" t="0" r="12065" b="5715"/>
            <wp:docPr id="1" name="图片 1" descr="雷锋主题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雷锋主题截图"/>
                    <pic:cNvPicPr>
                      <a:picLocks noChangeAspect="1"/>
                    </pic:cNvPicPr>
                  </pic:nvPicPr>
                  <pic:blipFill>
                    <a:blip r:embed="rId4"/>
                    <a:stretch>
                      <a:fillRect/>
                    </a:stretch>
                  </pic:blipFill>
                  <pic:spPr>
                    <a:xfrm>
                      <a:off x="0" y="0"/>
                      <a:ext cx="5271135" cy="4959985"/>
                    </a:xfrm>
                    <a:prstGeom prst="rect">
                      <a:avLst/>
                    </a:prstGeom>
                  </pic:spPr>
                </pic:pic>
              </a:graphicData>
            </a:graphic>
          </wp:inline>
        </w:drawing>
      </w:r>
    </w:p>
    <w:p>
      <w:pPr>
        <w:rPr>
          <w:rFonts w:hint="default" w:eastAsiaTheme="minorEastAsia"/>
          <w:lang w:val="en-US" w:eastAsia="zh-CN"/>
        </w:rPr>
      </w:pPr>
      <w:r>
        <w:rPr>
          <w:rFonts w:hint="eastAsia"/>
          <w:lang w:val="en-US" w:eastAsia="zh-CN"/>
        </w:rPr>
        <w:t>雷锋精神是新中国成立以来无时无刻不熏陶鼓舞中国人祖祖辈辈的做人法则，深入贯彻了以爱国主义为核心的团结统一爱好和平勤劳勇敢自强不息的伟大的民族精神，中国梦的实现，需要雷锋精神才能在两个百年之际怦然落地。</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wOGU5MWZmMjQwOTk4ZjI3MmUzMDhkMmFmMDYzMjMifQ=="/>
  </w:docVars>
  <w:rsids>
    <w:rsidRoot w:val="00000000"/>
    <w:rsid w:val="6B440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2024-03-16T00:54:48Z</dcterms:created>
  <dc:creator>Lenovo</dc:creator>
  <cp:lastModifiedBy>WPS_1668253423</cp:lastModifiedBy>
  <dcterms:modified xsi:type="dcterms:W3CDTF">2024-03-16T00:59:46Z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D9ED010D28A747E5B74416BAADF09CD2_12</vt:lpwstr>
  </property>
</Properties>
</file>