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2765"/>
        <w:gridCol w:w="1700"/>
        <w:gridCol w:w="2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3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169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3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张龄尹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3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造价2212，物业2201,物业2201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154人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65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2024年2月29日，3月4日，3月5日</w:t>
            </w:r>
          </w:p>
        </w:tc>
        <w:tc>
          <w:tcPr>
            <w:tcW w:w="1700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70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2教302,3教402.实训南楼501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3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169" w:type="dxa"/>
            <w:gridSpan w:val="3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left="0" w:right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2"/>
                <w:szCs w:val="32"/>
                <w:shd w:val="clear" w:fill="FFFFFF"/>
                <w:lang w:val="en-US" w:eastAsia="zh-CN"/>
              </w:rPr>
              <w:t>为切实做好2024年春季开学安全教育工作，加强学生安全防范意识和能力，保障学生人身和财产安全，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造价2212，物业2201,物业2201</w:t>
            </w:r>
            <w:r>
              <w:rPr>
                <w:rFonts w:hint="eastAsia" w:ascii="仿宋_GB2312" w:hAnsi="仿宋_GB2312" w:eastAsia="仿宋_GB2312" w:cs="仿宋_GB2312"/>
                <w:spacing w:val="0"/>
                <w:sz w:val="32"/>
                <w:szCs w:val="32"/>
                <w:shd w:val="clear" w:fill="FFFFFF"/>
                <w:lang w:val="en-US" w:eastAsia="zh-CN"/>
              </w:rPr>
              <w:t>召开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2024年春季开学安全第一课主题班会。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班会内容：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一、开学的各项安全管理要求：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 xml:space="preserve">    由于班级刚刚接手，利用此次班会和大家强调班级管理的各项要求，同时进一步加强违纪处分的各项内容，整顿班风学风。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二、安全教育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人身安全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财产安全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消防安全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心理健康安全、交通安全、食品安全、网络舆论安全以及不良网络贷款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安全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预防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电信诈骗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与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传销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等方面。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三、文明宿舍优秀率的提升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根据上学期各宿舍的优秀率进行对比分析，向同学们重点强调宿舍优秀率的提升的必要性。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/>
              <w:ind w:right="0"/>
              <w:jc w:val="left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四、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二课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分数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t>还有个别同学二课分没有及格，需要抓紧时间按照要求完成。</w:t>
            </w: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shd w:val="clear" w:fill="FFFFFF"/>
                <w:lang w:val="en-US" w:eastAsia="zh-CN" w:bidi="ar-SA"/>
              </w:rPr>
              <w:br w:type="textWrapping"/>
            </w:r>
          </w:p>
        </w:tc>
      </w:tr>
    </w:tbl>
    <w:p>
      <w:pPr>
        <w:jc w:val="center"/>
        <w:rPr>
          <w:rFonts w:hint="eastAsia" w:ascii="华文楷体" w:hAnsi="华文楷体" w:eastAsia="华文楷体" w:cs="华文楷体"/>
          <w:b/>
          <w:bCs/>
          <w:sz w:val="28"/>
          <w:szCs w:val="36"/>
          <w:vertAlign w:val="baseline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8"/>
          <w:szCs w:val="36"/>
          <w:vertAlign w:val="baseline"/>
          <w:lang w:val="en-US" w:eastAsia="zh-CN"/>
        </w:rPr>
        <w:br w:type="page"/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7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1153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369" w:type="dxa"/>
            <w:vAlign w:val="top"/>
          </w:tcPr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449445" cy="3338195"/>
                  <wp:effectExtent l="0" t="0" r="8255" b="1460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445" cy="333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23740" cy="4170680"/>
                  <wp:effectExtent l="0" t="0" r="10160" b="127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40" cy="417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ntyBrush">
    <w:panose1 w:val="03000600000000000000"/>
    <w:charset w:val="00"/>
    <w:family w:val="auto"/>
    <w:pitch w:val="default"/>
    <w:sig w:usb0="80000023" w:usb1="00000002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zZjdjMDkzZDk2ZjYxMjBhMmVjMmE2YzQ3NTJlMzgifQ=="/>
  </w:docVars>
  <w:rsids>
    <w:rsidRoot w:val="00000000"/>
    <w:rsid w:val="001B349A"/>
    <w:rsid w:val="06177A66"/>
    <w:rsid w:val="11577FEE"/>
    <w:rsid w:val="2252060C"/>
    <w:rsid w:val="2BD22717"/>
    <w:rsid w:val="58024461"/>
    <w:rsid w:val="762F53A9"/>
    <w:rsid w:val="79A6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2024-02-28T09:22:00Z</dcterms:created>
  <dc:creator>86181</dc:creator>
  <cp:lastModifiedBy>辉辉</cp:lastModifiedBy>
  <dcterms:modified xsi:type="dcterms:W3CDTF">2024-03-06T07:49:14Z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90365F14F6E8448BB0E8815B867DECD6_13</vt:lpwstr>
  </property>
</Properties>
</file>