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马瑜瞳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六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2018级文化产业管理一班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175260</wp:posOffset>
                  </wp:positionV>
                  <wp:extent cx="4037330" cy="5375910"/>
                  <wp:effectExtent l="0" t="0" r="1270" b="3810"/>
                  <wp:wrapSquare wrapText="bothSides"/>
                  <wp:docPr id="3" name="图片 3" descr="249813083957657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4981308395765709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330" cy="537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经小组长李佳仪审核，志愿时长已满十小时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ZTA0OTNiYzA0YWE5ODUwNDUyNzViODMzNDI3OTcifQ=="/>
  </w:docVars>
  <w:rsids>
    <w:rsidRoot w:val="24DA03CC"/>
    <w:rsid w:val="24DA03CC"/>
    <w:rsid w:val="6B96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223</Words>
  <Characters>244</Characters>
  <Lines>0</Lines>
  <Paragraphs>0</Paragraphs>
  <TotalTime>6</TotalTime>
  <ScaleCrop>false</ScaleCrop>
  <LinksUpToDate>false</LinksUpToDate>
  <CharactersWithSpaces>246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2022-06-03T01:25:00Z</dcterms:created>
  <dc:creator>水晶</dc:creator>
  <cp:lastModifiedBy>云沐离陌</cp:lastModifiedBy>
  <dcterms:modified xsi:type="dcterms:W3CDTF">2022-06-06T11:58:36Z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96F9D4CDC8EB4EDCB5DC8087001F47ED</vt:lpwstr>
  </property>
</Properties>
</file>