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李钰川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美术与设计学院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美术学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12.17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4" w:hRule="atLeast"/>
        </w:trPr>
        <w:tc>
          <w:tcPr>
            <w:tcW w:w="8528" w:type="dxa"/>
            <w:gridSpan w:val="7"/>
            <w:tcBorders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153035</wp:posOffset>
                  </wp:positionV>
                  <wp:extent cx="2553335" cy="3407410"/>
                  <wp:effectExtent l="0" t="0" r="3175" b="1270"/>
                  <wp:wrapTopAndBottom/>
                  <wp:docPr id="4" name="图片 4" descr="2022-06-08 12:43:52.856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2-06-08 12:43:52.85600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35" cy="340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.applesimplifiedchinesefont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Semibold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Regular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小标宋简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2022-06-08T12:39:51Z</dcterms:created>
  <dc:creator>梁京的iPad</dc:creator>
  <cp:lastModifiedBy>梁京的iPad</cp:lastModifiedBy>
  <dcterms:modified xsi:type="dcterms:W3CDTF">2022-06-08T12:45:22Z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2052-11.25.0</vt:lpwstr>
  </property>
  <property fmtid="{D5CDD505-2E9C-101B-9397-08002B2CF9AE}" pid="3" name="ICV">
    <vt:lpwstr>703921C09C27922D1728A062D138CA49</vt:lpwstr>
  </property>
</Properties>
</file>