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学院：</w:t>
      </w:r>
      <w:r>
        <w:rPr>
          <w:rFonts w:hint="default" w:ascii="仿宋_GB2312" w:hAnsi="仿宋_GB2312" w:eastAsia="仿宋_GB2312" w:cs="仿宋_GB2312"/>
          <w:sz w:val="28"/>
          <w:szCs w:val="28"/>
          <w:lang w:val="en-US"/>
        </w:rPr>
        <w:t>外国语学院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年级与专业：</w:t>
      </w:r>
      <w:r>
        <w:rPr>
          <w:rFonts w:hint="default" w:ascii="仿宋_GB2312" w:hAnsi="仿宋_GB2312" w:eastAsia="仿宋_GB2312" w:cs="仿宋_GB2312"/>
          <w:sz w:val="28"/>
          <w:szCs w:val="28"/>
          <w:lang w:val="en-US"/>
        </w:rPr>
        <w:t>19英语（师范类）</w:t>
      </w:r>
      <w:r>
        <w:rPr>
          <w:rFonts w:hint="eastAsia" w:ascii="仿宋_GB2312" w:hAnsi="仿宋_GB2312" w:eastAsia="仿宋_GB2312" w:cs="仿宋_GB2312"/>
          <w:sz w:val="28"/>
          <w:szCs w:val="28"/>
        </w:rPr>
        <w:t>姓名：</w:t>
      </w:r>
      <w:r>
        <w:rPr>
          <w:rFonts w:hint="default" w:ascii="仿宋_GB2312" w:hAnsi="仿宋_GB2312" w:eastAsia="仿宋_GB2312" w:cs="仿宋_GB2312"/>
          <w:sz w:val="28"/>
          <w:szCs w:val="28"/>
          <w:lang w:val="en-US"/>
        </w:rPr>
        <w:t>李丽玲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</w:rPr>
        <w:t>1、 </w:t>
      </w:r>
      <w:r>
        <w:rPr>
          <w:rFonts w:eastAsia="-webkit-standard" w:cs="Calibri"/>
          <w:color w:val="000000"/>
          <w:kern w:val="0"/>
          <w:sz w:val="24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</w:rPr>
      </w:pPr>
      <w:r>
        <w:rPr>
          <w:rFonts w:eastAsia="-webkit-standard" w:cs="Calibri"/>
          <w:color w:val="000000"/>
          <w:kern w:val="0"/>
          <w:sz w:val="24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rPr>
          <w:rFonts w:hint="default" w:ascii="仿宋_GB2312" w:hAnsi="仿宋_GB2312" w:eastAsia="仿宋_GB2312" w:cs="仿宋_GB2312"/>
          <w:sz w:val="24"/>
          <w:szCs w:val="24"/>
          <w:lang w:val="en-US"/>
        </w:rPr>
      </w:pPr>
      <w:r>
        <w:rPr>
          <w:rFonts w:hint="eastAsia" w:eastAsia="-webkit-standard" w:cs="Calibri"/>
          <w:color w:val="000000"/>
          <w:kern w:val="0"/>
          <w:sz w:val="24"/>
        </w:rPr>
        <w:t>答</w:t>
      </w:r>
      <w:r>
        <w:rPr>
          <w:rFonts w:eastAsia="-webkit-standard" w:cs="Calibri"/>
          <w:color w:val="000000"/>
          <w:kern w:val="0"/>
          <w:sz w:val="24"/>
        </w:rPr>
        <w:t>:</w:t>
      </w:r>
      <w:r>
        <w:rPr>
          <w:rFonts w:hint="default" w:ascii="仿宋_GB2312" w:hAnsi="仿宋_GB2312" w:eastAsia="仿宋_GB2312" w:cs="仿宋_GB2312"/>
          <w:sz w:val="24"/>
          <w:szCs w:val="24"/>
          <w:lang w:val="en-US"/>
        </w:rPr>
        <w:t>我们小组讨论的是第二个问题。</w:t>
      </w:r>
    </w:p>
    <w:p>
      <w:pPr>
        <w:rPr>
          <w:rFonts w:hint="default" w:ascii="仿宋_GB2312" w:hAnsi="仿宋_GB2312" w:eastAsia="仿宋_GB2312" w:cs="仿宋_GB2312"/>
          <w:sz w:val="24"/>
          <w:szCs w:val="24"/>
          <w:lang w:val="en-US"/>
        </w:rPr>
      </w:pPr>
      <w:r>
        <w:rPr>
          <w:rFonts w:hint="default" w:ascii="仿宋_GB2312" w:hAnsi="仿宋_GB2312" w:eastAsia="仿宋_GB2312" w:cs="仿宋_GB2312"/>
          <w:sz w:val="24"/>
          <w:szCs w:val="24"/>
          <w:lang w:val="en-US"/>
        </w:rPr>
        <w:t>通过这次小组讨论，我更加了解了1921年建党的伟人们。在这里我谈谈我的感想。</w:t>
      </w:r>
    </w:p>
    <w:p>
      <w:pPr>
        <w:rPr>
          <w:rFonts w:hint="default" w:ascii="仿宋_GB2312" w:hAnsi="仿宋_GB2312" w:eastAsia="仿宋_GB2312" w:cs="仿宋_GB2312"/>
          <w:sz w:val="24"/>
          <w:szCs w:val="24"/>
          <w:lang w:val="en-US"/>
        </w:rPr>
      </w:pPr>
      <w:r>
        <w:rPr>
          <w:rFonts w:hint="default" w:ascii="仿宋_GB2312" w:hAnsi="仿宋_GB2312" w:eastAsia="仿宋_GB2312" w:cs="仿宋_GB2312"/>
          <w:sz w:val="24"/>
          <w:szCs w:val="24"/>
          <w:lang w:val="en-US"/>
        </w:rPr>
        <w:t>庄碧茹同学讲到“建党七伟中的何叔衡其实是一位旧式秀才，主动学习。他不断实现自身新思想的转变，愿意与激进青年为伍，投身于变革的实践。我们可以看到他在历史上这几个方面创下了年纪最大的纪录———师范学生、新民学会会员、“一大”代表……其实这恰恰说明他总身处于年轻人的行列中，有一颗不老心。因此，我认为他是老年人的模范、中年人的模范，同时也是青年人的模范。”我觉得她的见解很深刻，老人在国破家亡之际能够挺身而出，主动学习，实乃年轻人典范，是当代青年学习之榜样。同时，杨富琪同学也讲到“何叔衡曾说过，“腐败不清除，共产党就会失去威望和民心！与贪污腐化作斗争，是我们共产党人的天职！”，从这里我们也可以看出何叔衡还很有长远的目光，直接抓住了共产党长久执政的关键之一——要清廉，要同群众站在一起。在他身上我们能学习到很多东西。</w:t>
      </w:r>
    </w:p>
    <w:p>
      <w:pPr>
        <w:rPr>
          <w:rFonts w:hint="default" w:ascii="仿宋_GB2312" w:hAnsi="仿宋_GB2312" w:eastAsia="仿宋_GB2312" w:cs="仿宋_GB2312"/>
          <w:sz w:val="24"/>
          <w:szCs w:val="24"/>
          <w:lang w:val="en-US"/>
        </w:rPr>
      </w:pPr>
    </w:p>
    <w:p>
      <w:pPr>
        <w:rPr>
          <w:rFonts w:ascii="仿宋_GB2312" w:hAnsi="仿宋_GB2312" w:eastAsia="仿宋_GB2312" w:cs="仿宋_GB2312"/>
          <w:sz w:val="24"/>
          <w:szCs w:val="24"/>
        </w:rPr>
      </w:pPr>
      <w:bookmarkStart w:id="0" w:name="_GoBack"/>
      <w:bookmarkEnd w:id="0"/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eastAsia="-webkit-standard" w:cs="Calibri"/>
          <w:color w:val="000000"/>
          <w:kern w:val="0"/>
          <w:sz w:val="22"/>
          <w:szCs w:val="22"/>
        </w:rPr>
        <w:t>3</w:t>
      </w:r>
      <w:r>
        <w:rPr>
          <w:rFonts w:eastAsia="-webkit-standard" w:cs="Calibri"/>
          <w:color w:val="000000"/>
          <w:kern w:val="0"/>
          <w:sz w:val="22"/>
          <w:szCs w:val="22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</w:rPr>
        <w:t> </w:t>
      </w:r>
      <w:r>
        <w:rPr>
          <w:rFonts w:eastAsia="-webkit-standard" w:cs="Calibri"/>
          <w:color w:val="000000"/>
          <w:kern w:val="0"/>
          <w:sz w:val="24"/>
        </w:rPr>
        <w:t>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</w:rPr>
      </w:pPr>
      <w:r>
        <w:rPr>
          <w:rFonts w:eastAsia="-webkit-standard" w:cs="Calibri"/>
          <w:color w:val="000000"/>
          <w:kern w:val="0"/>
          <w:sz w:val="24"/>
        </w:rPr>
        <w:t>3.1 请选择其中一个历史事件简要介绍，并谈谈你对其意义的认识；</w:t>
      </w:r>
    </w:p>
    <w:p>
      <w:pPr>
        <w:widowControl/>
        <w:rPr>
          <w:rFonts w:eastAsia="-webkit-standard" w:cs="Calibri"/>
          <w:color w:val="000000"/>
          <w:kern w:val="0"/>
          <w:sz w:val="24"/>
        </w:rPr>
      </w:pPr>
      <w:r>
        <w:rPr>
          <w:rFonts w:hint="eastAsia" w:eastAsia="-webkit-standard" w:cs="Calibri"/>
          <w:color w:val="000000"/>
          <w:kern w:val="0"/>
          <w:sz w:val="24"/>
        </w:rPr>
        <w:t>答</w:t>
      </w:r>
      <w:r>
        <w:rPr>
          <w:rFonts w:eastAsia="-webkit-standard" w:cs="Calibri"/>
          <w:color w:val="000000"/>
          <w:kern w:val="0"/>
          <w:sz w:val="24"/>
        </w:rPr>
        <w:t>:</w:t>
      </w:r>
    </w:p>
    <w:p>
      <w:pPr>
        <w:widowControl/>
        <w:ind w:firstLine="480"/>
        <w:rPr>
          <w:rFonts w:ascii="仿宋_GB2312" w:hAnsi="仿宋_GB2312" w:eastAsia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</w:rPr>
        <w:t>3.2 2月20日，党史学习教育动员大会在北京召开。谈谈你对党史工作的认识</w:t>
      </w:r>
      <w:r>
        <w:rPr>
          <w:rFonts w:hint="eastAsia" w:eastAsia="-webkit-standard" w:cs="Calibri"/>
          <w:color w:val="000000"/>
          <w:kern w:val="0"/>
          <w:sz w:val="24"/>
        </w:rPr>
        <w:t>。</w:t>
      </w: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E9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qFormat/>
    <w:uiPriority w:val="1"/>
  </w:style>
  <w:style w:type="table" w:default="1" w:styleId="3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701</Words>
  <Characters>724</Characters>
  <Paragraphs>28</Paragraphs>
  <TotalTime>2</TotalTime>
  <ScaleCrop>false</ScaleCrop>
  <LinksUpToDate>false</LinksUpToDate>
  <CharactersWithSpaces>732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惜年</cp:lastModifiedBy>
  <dcterms:modified xsi:type="dcterms:W3CDTF">2021-04-24T13:54:08Z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