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sz w:val="32"/>
          <w:szCs w:val="32"/>
        </w:rPr>
      </w:pPr>
      <w:r>
        <w:rPr>
          <w:rFonts w:ascii="仿宋_GB2312" w:cs="仿宋_GB2312" w:eastAsia="仿宋_GB2312" w:hAnsi="仿宋_GB2312" w:hint="eastAsia"/>
          <w:sz w:val="32"/>
          <w:szCs w:val="32"/>
        </w:rPr>
        <w:t>第</w:t>
      </w:r>
      <w:r>
        <w:rPr>
          <w:rFonts w:ascii="仿宋_GB2312" w:cs="仿宋_GB2312" w:eastAsia="仿宋_GB2312" w:hAnsi="仿宋_GB2312" w:hint="eastAsia"/>
          <w:sz w:val="32"/>
          <w:szCs w:val="32"/>
        </w:rPr>
        <w:t>6</w:t>
      </w:r>
      <w:r>
        <w:rPr>
          <w:rFonts w:ascii="仿宋_GB2312" w:cs="仿宋_GB2312" w:eastAsia="仿宋_GB2312" w:hAnsi="仿宋_GB2312"/>
          <w:sz w:val="32"/>
          <w:szCs w:val="32"/>
        </w:rPr>
        <w:t>6</w:t>
      </w:r>
      <w:bookmarkStart w:id="0" w:name="_GoBack"/>
      <w:bookmarkEnd w:id="0"/>
      <w:r>
        <w:rPr>
          <w:rFonts w:ascii="仿宋_GB2312" w:cs="仿宋_GB2312" w:eastAsia="仿宋_GB2312" w:hAnsi="仿宋_GB2312" w:hint="eastAsia"/>
          <w:sz w:val="32"/>
          <w:szCs w:val="32"/>
        </w:rPr>
        <w:t>期党的发展对象培训班第一次小组讨论</w:t>
      </w:r>
    </w:p>
    <w:p>
      <w:pPr>
        <w:pStyle w:val="style0"/>
        <w:ind w:firstLine="3520" w:firstLineChars="1100"/>
        <w:rPr>
          <w:rFonts w:ascii="仿宋_GB2312" w:cs="仿宋_GB2312" w:eastAsia="仿宋_GB2312" w:hAnsi="仿宋_GB2312"/>
          <w:sz w:val="32"/>
          <w:szCs w:val="32"/>
        </w:rPr>
      </w:pPr>
    </w:p>
    <w:p>
      <w:pPr>
        <w:pStyle w:val="style0"/>
        <w:jc w:val="center"/>
        <w:rPr>
          <w:rFonts w:ascii="仿宋_GB2312" w:cs="仿宋_GB2312" w:eastAsia="仿宋_GB2312" w:hAnsi="仿宋_GB2312" w:hint="eastAsia"/>
          <w:sz w:val="32"/>
          <w:szCs w:val="32"/>
        </w:rPr>
      </w:pPr>
      <w:r>
        <w:rPr>
          <w:rFonts w:ascii="仿宋_GB2312" w:cs="仿宋_GB2312" w:eastAsia="仿宋_GB2312" w:hAnsi="仿宋_GB2312" w:hint="eastAsia"/>
          <w:sz w:val="32"/>
          <w:szCs w:val="32"/>
        </w:rPr>
        <w:t>学院：</w:t>
      </w:r>
      <w:r>
        <w:rPr>
          <w:rFonts w:ascii="仿宋_GB2312" w:cs="仿宋_GB2312" w:eastAsia="仿宋_GB2312" w:hAnsi="仿宋_GB2312" w:hint="eastAsia"/>
          <w:sz w:val="32"/>
          <w:szCs w:val="32"/>
          <w:lang w:eastAsia="zh-CN"/>
        </w:rPr>
        <w:t>外国语学院</w:t>
      </w:r>
      <w:r>
        <w:rPr>
          <w:rFonts w:ascii="仿宋_GB2312" w:cs="仿宋_GB2312" w:eastAsia="仿宋_GB2312" w:hAnsi="仿宋_GB2312" w:hint="eastAsia"/>
          <w:sz w:val="32"/>
          <w:szCs w:val="32"/>
        </w:rPr>
        <w:t xml:space="preserve"> </w:t>
      </w:r>
    </w:p>
    <w:p>
      <w:pPr>
        <w:pStyle w:val="style0"/>
        <w:jc w:val="center"/>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eastAsia="zh-CN"/>
        </w:rPr>
        <w:t xml:space="preserve">  </w:t>
      </w:r>
      <w:r>
        <w:rPr>
          <w:rFonts w:ascii="仿宋_GB2312" w:cs="仿宋_GB2312" w:eastAsia="仿宋_GB2312" w:hAnsi="仿宋_GB2312" w:hint="eastAsia"/>
          <w:sz w:val="32"/>
          <w:szCs w:val="32"/>
        </w:rPr>
        <w:t>年级与专业：</w:t>
      </w:r>
      <w:r>
        <w:rPr>
          <w:rFonts w:ascii="仿宋_GB2312" w:cs="仿宋_GB2312" w:eastAsia="仿宋_GB2312" w:hAnsi="仿宋_GB2312" w:hint="default"/>
          <w:sz w:val="32"/>
          <w:szCs w:val="32"/>
          <w:lang w:val="en-US"/>
        </w:rPr>
        <w:t>19</w:t>
      </w:r>
      <w:r>
        <w:rPr>
          <w:rFonts w:ascii="仿宋_GB2312" w:cs="仿宋_GB2312" w:eastAsia="仿宋_GB2312" w:hAnsi="仿宋_GB2312" w:hint="eastAsia"/>
          <w:sz w:val="32"/>
          <w:szCs w:val="32"/>
          <w:lang w:val="en-US" w:eastAsia="zh-CN"/>
        </w:rPr>
        <w:t>级英语（师范类）</w:t>
      </w:r>
    </w:p>
    <w:p>
      <w:pPr>
        <w:pStyle w:val="style0"/>
        <w:jc w:val="both"/>
        <w:rPr>
          <w:rFonts w:ascii="仿宋_GB2312" w:cs="仿宋_GB2312" w:eastAsia="仿宋_GB2312" w:hAnsi="仿宋_GB2312"/>
          <w:sz w:val="32"/>
          <w:szCs w:val="32"/>
        </w:rPr>
      </w:pPr>
      <w:r>
        <w:rPr>
          <w:rFonts w:ascii="仿宋_GB2312" w:cs="仿宋_GB2312" w:eastAsia="仿宋_GB2312" w:hAnsi="仿宋_GB2312" w:hint="default"/>
          <w:color w:val="36363d"/>
          <w:sz w:val="32"/>
          <w:szCs w:val="32"/>
          <w:lang w:val="en-US"/>
        </w:rPr>
        <w:t xml:space="preserve">                    </w:t>
      </w:r>
      <w:r>
        <w:rPr>
          <w:rFonts w:ascii="仿宋_GB2312" w:cs="仿宋_GB2312" w:eastAsia="仿宋_GB2312" w:hAnsi="仿宋_GB2312" w:hint="eastAsia"/>
          <w:color w:val="36363d"/>
          <w:sz w:val="32"/>
          <w:szCs w:val="32"/>
        </w:rPr>
        <w:t>姓名：</w:t>
      </w:r>
      <w:r>
        <w:rPr>
          <w:rFonts w:ascii="仿宋_GB2312" w:cs="仿宋_GB2312" w:eastAsia="仿宋_GB2312" w:hAnsi="仿宋_GB2312" w:hint="eastAsia"/>
          <w:color w:val="36363d"/>
          <w:sz w:val="32"/>
          <w:szCs w:val="32"/>
          <w:lang w:eastAsia="zh-CN"/>
        </w:rPr>
        <w:t>江奕婷</w:t>
      </w:r>
    </w:p>
    <w:p>
      <w:pPr>
        <w:pStyle w:val="style0"/>
        <w:widowControl/>
        <w:rPr>
          <w:rFonts w:ascii="-webkit-standard" w:cs="-webkit-standard" w:eastAsia="-webkit-standard" w:hAnsi="-webkit-standard"/>
          <w:color w:val="000000"/>
          <w:sz w:val="27"/>
          <w:szCs w:val="27"/>
        </w:rPr>
      </w:pPr>
    </w:p>
    <w:p>
      <w:pPr>
        <w:pStyle w:val="style0"/>
        <w:widowControl/>
        <w:rPr>
          <w:rFonts w:ascii="仿宋_GB2312" w:cs="仿宋_GB2312" w:eastAsia="仿宋_GB2312" w:hAnsi="仿宋_GB2312"/>
          <w:color w:val="212121"/>
          <w:sz w:val="32"/>
          <w:szCs w:val="32"/>
        </w:rPr>
      </w:pPr>
      <w:r>
        <w:rPr>
          <w:rFonts w:cs="Calibri" w:eastAsia="-webkit-standard"/>
          <w:color w:val="000000"/>
          <w:kern w:val="0"/>
          <w:sz w:val="24"/>
        </w:rPr>
        <w:t>1921</w:t>
      </w:r>
      <w:r>
        <w:rPr>
          <w:rFonts w:cs="Calibri" w:eastAsia="-webkit-standard"/>
          <w:color w:val="000000"/>
          <w:kern w:val="0"/>
          <w:sz w:val="24"/>
        </w:rPr>
        <w:t>年建党的伟人有李汉俊、李达、张国焘、刘仁静、毛泽东、何叔衡、董必武等。试选一人，自选角度，说一说他们的生平故事，谈一谈你的感想。</w:t>
      </w:r>
    </w:p>
    <w:p>
      <w:pPr>
        <w:pStyle w:val="style0"/>
        <w:rPr>
          <w:rFonts w:ascii="仿宋_GB2312" w:cs="仿宋_GB2312" w:eastAsia="仿宋_GB2312" w:hAnsi="仿宋_GB2312" w:hint="eastAsia"/>
          <w:sz w:val="32"/>
          <w:szCs w:val="32"/>
        </w:rPr>
      </w:pPr>
    </w:p>
    <w:p>
      <w:pPr>
        <w:pStyle w:val="style0"/>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rPr>
        <w:t>答：</w:t>
      </w:r>
      <w:r>
        <w:rPr>
          <w:rFonts w:ascii="仿宋_GB2312" w:cs="仿宋_GB2312" w:eastAsia="仿宋_GB2312" w:hAnsi="仿宋_GB2312" w:hint="eastAsia"/>
          <w:sz w:val="24"/>
          <w:szCs w:val="24"/>
          <w:lang w:eastAsia="zh-CN"/>
        </w:rPr>
        <w:t>今天，我要讲述的是李达同志的故事。李达是中国共产党主要创始人之一。是典型的学者型人物，他爱坦率地表明观点，不喜欢随声附和，话不投机往往拂袖而去。</w:t>
      </w:r>
    </w:p>
    <w:p>
      <w:pPr>
        <w:pStyle w:val="style0"/>
        <w:ind w:firstLineChars="200"/>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lang w:eastAsia="zh-CN"/>
        </w:rPr>
        <w:t>李达毕生致力于马克思主义理论的研究、宣传和教育，是中国马克思主义的启蒙大师和马克思主义中国化的重要代表人物之一，为马克思主义中国化作出了卓越贡献，对毛泽东哲学思想的形成和发展产生了重要影响。李达也是中国马克思主义史上一位百科全书式的名家大师，在哲学、经济学、政治学、史学、法学、社会学、教育学等众多领域都取得了开创性的成就，实现了对于马克思主义理论的整体探索和综合创新。</w:t>
      </w:r>
    </w:p>
    <w:p>
      <w:pPr>
        <w:pStyle w:val="style0"/>
        <w:ind w:firstLineChars="200"/>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lang w:eastAsia="zh-CN"/>
        </w:rPr>
        <w:t>李达是一位坚定的马克思主义者，他尊重事实、实事求是地揭示马克思主义真理，即使在中国那个盲目多于理性的火热年代里，李达仍无所畏惧地捍卫真理，不随波逐流屈从谬说。“坚持真理，不屈不挠。身体力行，万世师表”，胡乔木用短短十六个字概括李达同志卓有建树的一生。而这正是李达精神，是他一生学做真人、追求真知的最好写照。</w:t>
      </w:r>
    </w:p>
    <w:p>
      <w:pPr>
        <w:pStyle w:val="style0"/>
        <w:ind w:firstLineChars="200"/>
        <w:rPr>
          <w:rFonts w:ascii="仿宋_GB2312" w:cs="仿宋_GB2312" w:eastAsia="仿宋_GB2312" w:hAnsi="仿宋_GB2312"/>
          <w:sz w:val="24"/>
          <w:szCs w:val="24"/>
        </w:rPr>
      </w:pPr>
      <w:r>
        <w:rPr>
          <w:rFonts w:ascii="仿宋_GB2312" w:cs="仿宋_GB2312" w:eastAsia="仿宋_GB2312" w:hAnsi="仿宋_GB2312" w:hint="eastAsia"/>
          <w:sz w:val="24"/>
          <w:szCs w:val="24"/>
          <w:lang w:eastAsia="zh-CN"/>
        </w:rPr>
        <w:t>通过对李达同志的了解，他身上展现出的不忘初心的革命精神、不断开拓的进取精神、顾全大局的担当精神、孜孜不倦的学习精神为我们树立了光辉的榜样。我由衷地对他感到敬佩。</w:t>
      </w: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color w:val="000000"/>
          <w:sz w:val="32"/>
          <w:szCs w:val="32"/>
          <w:shd w:val="clear" w:color="auto" w:fill="ffffff"/>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Calibri">
    <w:altName w:val="Calibri"/>
    <w:panose1 w:val="020f0502020000030204"/>
    <w:charset w:val="00"/>
    <w:family w:val="swiss"/>
    <w:pitch w:val="variable"/>
    <w:sig w:usb0="E00002FF" w:usb1="4000ACFF"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rFonts w:ascii="Calibri" w:cs="宋体" w:hAnsi="Calibri"/>
      <w:kern w:val="2"/>
      <w:sz w:val="21"/>
      <w:szCs w:val="24"/>
    </w:rPr>
  </w:style>
  <w:style w:type="paragraph" w:styleId="style1">
    <w:name w:val="heading 1"/>
    <w:basedOn w:val="style0"/>
    <w:next w:val="style0"/>
    <w:qFormat/>
    <w:pPr>
      <w:spacing w:beforeAutospacing="true" w:afterAutospacing="true"/>
      <w:jc w:val="left"/>
      <w:outlineLvl w:val="0"/>
    </w:pPr>
    <w:rPr>
      <w:rFonts w:ascii="宋体" w:hAnsi="宋体" w:hint="eastAsia"/>
      <w:b/>
      <w:kern w:val="44"/>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605</Words>
  <Pages>1</Pages>
  <Characters>610</Characters>
  <Application>WPS Office</Application>
  <DocSecurity>0</DocSecurity>
  <Paragraphs>21</Paragraphs>
  <ScaleCrop>false</ScaleCrop>
  <LinksUpToDate>false</LinksUpToDate>
  <CharactersWithSpaces>633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ELS-AN00</lastModifiedBy>
  <dcterms:modified xsi:type="dcterms:W3CDTF">2021-04-24T13:28:19Z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