
<file path=[Content_Types].xml><?xml version="1.0" encoding="utf-8"?>
<Types xmlns="http://schemas.openxmlformats.org/package/2006/content-types">
  <Default Extension="xlsx" ContentType="application/vnd.openxmlformats-officedocument.spreadsheetml.sheet"/>
  <Default Extension="xml" ContentType="application/xml"/>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numbering.xml" ContentType="application/vnd.openxmlformats-officedocument.wordprocessingml.numbering+xml"/>
  <Override PartName="/word/charts/style2.xml" ContentType="application/vnd.ms-office.chartstyle+xml"/>
  <Override PartName="/word/settings.xml" ContentType="application/vnd.openxmlformats-officedocument.wordprocessingml.settings+xml"/>
  <Override PartName="/docProps/custom.xml" ContentType="application/vnd.openxmlformats-officedocument.custom-properties+xml"/>
  <Override PartName="/word/charts/colors2.xml" ContentType="application/vnd.ms-office.chartcolorstyle+xml"/>
  <Override PartName="/word/theme/themeOverride1.xml" ContentType="application/vnd.openxmlformats-officedocument.themeOverride+xml"/>
  <Override PartName="/word/document.xml" ContentType="application/vnd.openxmlformats-officedocument.wordprocessingml.document.main+xml"/>
  <Override PartName="/word/charts/chart2.xml" ContentType="application/vnd.openxmlformats-officedocument.drawingml.chart+xml"/>
  <Override PartName="/word/charts/style1.xml" ContentType="application/vnd.ms-office.chartsty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hint="eastAsia"/>
          <w:sz w:val="24"/>
          <w:szCs w:val="24"/>
          <w:lang w:val="en-US" w:eastAsia="zh-CN"/>
        </w:rPr>
      </w:pPr>
      <w:r>
        <w:rPr>
          <w:rFonts w:hint="eastAsia"/>
          <w:sz w:val="24"/>
          <w:szCs w:val="24"/>
          <w:lang w:val="en-US" w:eastAsia="zh-CN"/>
        </w:rPr>
        <w:t>中国电竞行业在2015-2019年的发展</w:t>
      </w:r>
    </w:p>
    <w:p>
      <w:pPr>
        <w:pStyle w:val="style0"/>
        <w:jc w:val="center"/>
        <w:rPr>
          <w:rFonts w:hint="eastAsia"/>
          <w:sz w:val="24"/>
          <w:szCs w:val="24"/>
          <w:lang w:val="en-US" w:eastAsia="zh-CN"/>
        </w:rPr>
      </w:pPr>
    </w:p>
    <w:p>
      <w:pPr>
        <w:pStyle w:val="style0"/>
        <w:ind w:firstLine="480" w:firstLineChars="200"/>
        <w:rPr>
          <w:rFonts w:hint="eastAsia"/>
          <w:sz w:val="24"/>
          <w:szCs w:val="24"/>
          <w:lang w:val="en-US" w:eastAsia="zh-CN"/>
        </w:rPr>
      </w:pPr>
      <w:r>
        <w:rPr>
          <w:rFonts w:hint="eastAsia"/>
          <w:sz w:val="24"/>
          <w:szCs w:val="24"/>
          <w:lang w:val="en-US" w:eastAsia="zh-CN"/>
        </w:rPr>
        <w:t>现今，互联网迅速发展，电子竞技也随着时代变化日新月异。</w:t>
      </w:r>
    </w:p>
    <w:p>
      <w:pPr>
        <w:pStyle w:val="style0"/>
        <w:ind w:firstLine="480" w:firstLineChars="200"/>
        <w:rPr>
          <w:rFonts w:hint="default"/>
          <w:sz w:val="24"/>
          <w:szCs w:val="24"/>
          <w:lang w:val="en-US" w:eastAsia="zh-CN"/>
        </w:rPr>
      </w:pPr>
      <w:r>
        <w:rPr>
          <w:rFonts w:hint="eastAsia"/>
          <w:sz w:val="24"/>
          <w:szCs w:val="24"/>
          <w:lang w:val="en-US" w:eastAsia="zh-CN"/>
        </w:rPr>
        <w:t>根据互联网的大数据分析来看，2015-2019年，中国电竞在科技、政治、社会以及经济上都发生着翻天覆地的变化，中国电子竞技行业逐渐地发展起来，成为现今不可或缺的一部分。</w:t>
      </w:r>
    </w:p>
    <w:p>
      <w:pPr>
        <w:pStyle w:val="style0"/>
        <w:ind w:firstLine="480" w:firstLineChars="200"/>
        <w:rPr>
          <w:rFonts w:ascii="宋体" w:cs="宋体" w:hAnsi="宋体" w:hint="eastAsia"/>
          <w:i w:val="false"/>
          <w:caps w:val="false"/>
          <w:color w:val="000000"/>
          <w:spacing w:val="0"/>
          <w:sz w:val="24"/>
          <w:szCs w:val="24"/>
          <w:shd w:val="clear" w:color="auto" w:fill="ffffff"/>
          <w:lang w:val="en-US" w:eastAsia="zh-CN"/>
        </w:rPr>
      </w:pPr>
      <w:r>
        <w:rPr>
          <w:rFonts w:ascii="宋体" w:cs="宋体" w:hAnsi="宋体" w:hint="eastAsia"/>
          <w:i w:val="false"/>
          <w:caps w:val="false"/>
          <w:color w:val="000000"/>
          <w:spacing w:val="0"/>
          <w:sz w:val="24"/>
          <w:szCs w:val="24"/>
          <w:shd w:val="clear" w:color="auto" w:fill="ffffff"/>
          <w:lang w:val="en-US" w:eastAsia="zh-CN"/>
        </w:rPr>
        <w:t>2015-2019年间，中国电竞行业的科技水平逐渐提高。在中国的科技快速发展过程中，中国电子竞技用户逐渐由以端游用户为重心转变为以手游用户为重心，因此，厂商的重心也逐渐转移到手游。其中，厂商不断努力，创造出许多手游版动作类游戏、射击类游戏、策划类游戏、棋牌类游戏、卡牌类游戏、角色扮演类游戏等等。在满足用户的普通条件后，相关产业兴起了安卓电视游戏、Mobile VR游戏等等，来满足用户的高级条件，而游戏商家则逐渐提高画质、提高游戏流畅度、并相应推出3D游戏等等。其中，为使专业选手以及条件优越的用户在打比赛中更加舒适，便生产出许多电竞专用产品，比如：电竞椅。随着时间的推移、中国科技的提升，中国电竞的科技水平也在不断的提高。</w:t>
      </w:r>
    </w:p>
    <w:p>
      <w:pPr>
        <w:pStyle w:val="style0"/>
        <w:ind w:firstLine="480" w:firstLineChars="200"/>
        <w:rPr>
          <w:rFonts w:ascii="宋体" w:cs="宋体" w:hAnsi="宋体" w:hint="default"/>
          <w:i w:val="false"/>
          <w:caps w:val="false"/>
          <w:color w:val="000000"/>
          <w:spacing w:val="0"/>
          <w:sz w:val="24"/>
          <w:szCs w:val="24"/>
          <w:shd w:val="clear" w:color="auto" w:fill="ffffff"/>
          <w:lang w:val="en-US" w:eastAsia="zh-CN"/>
        </w:rPr>
      </w:pPr>
      <w:r>
        <w:rPr>
          <w:rFonts w:ascii="宋体" w:cs="宋体" w:hAnsi="宋体" w:hint="eastAsia"/>
          <w:i w:val="false"/>
          <w:caps w:val="false"/>
          <w:color w:val="000000"/>
          <w:spacing w:val="0"/>
          <w:sz w:val="24"/>
          <w:szCs w:val="24"/>
          <w:shd w:val="clear" w:color="auto" w:fill="ffffff"/>
          <w:lang w:val="en-US" w:eastAsia="zh-CN"/>
        </w:rPr>
        <w:t>2015-2019年间，中国电竞行业逐渐被国家认可并给予极大的肯定以及鼓励。</w:t>
      </w:r>
      <w:r>
        <w:rPr>
          <w:rFonts w:ascii="宋体" w:cs="宋体" w:hAnsi="宋体" w:hint="default"/>
          <w:i w:val="false"/>
          <w:caps w:val="false"/>
          <w:color w:val="000000"/>
          <w:spacing w:val="0"/>
          <w:sz w:val="24"/>
          <w:szCs w:val="24"/>
          <w:shd w:val="clear" w:color="auto" w:fill="ffffff"/>
          <w:lang w:val="en-US" w:eastAsia="zh-CN"/>
        </w:rPr>
        <w:t>2016</w:t>
      </w:r>
      <w:r>
        <w:rPr>
          <w:rFonts w:ascii="宋体" w:cs="宋体" w:hAnsi="宋体" w:hint="eastAsia"/>
          <w:i w:val="false"/>
          <w:caps w:val="false"/>
          <w:color w:val="000000"/>
          <w:spacing w:val="0"/>
          <w:sz w:val="24"/>
          <w:szCs w:val="24"/>
          <w:shd w:val="clear" w:color="auto" w:fill="ffffff"/>
          <w:lang w:val="en-US" w:eastAsia="zh-CN"/>
        </w:rPr>
        <w:t>年中国开设了电子竞技运动与管理专业，</w:t>
      </w:r>
      <w:r>
        <w:rPr>
          <w:rFonts w:ascii="宋体" w:cs="宋体" w:hAnsi="宋体" w:hint="default"/>
          <w:i w:val="false"/>
          <w:caps w:val="false"/>
          <w:color w:val="000000"/>
          <w:spacing w:val="0"/>
          <w:sz w:val="24"/>
          <w:szCs w:val="24"/>
          <w:shd w:val="clear" w:color="auto" w:fill="ffffff"/>
          <w:lang w:val="en-US" w:eastAsia="zh-CN"/>
        </w:rPr>
        <w:t>2017</w:t>
      </w:r>
      <w:r>
        <w:rPr>
          <w:rFonts w:ascii="宋体" w:cs="宋体" w:hAnsi="宋体" w:hint="eastAsia"/>
          <w:i w:val="false"/>
          <w:caps w:val="false"/>
          <w:color w:val="000000"/>
          <w:spacing w:val="0"/>
          <w:sz w:val="24"/>
          <w:szCs w:val="24"/>
          <w:shd w:val="clear" w:color="auto" w:fill="ffffff"/>
          <w:lang w:val="en-US" w:eastAsia="zh-CN"/>
        </w:rPr>
        <w:t>年开始实施；2015年7月，国家体育总局信息中心颁发《电子竞技赛事管理暂行规定》；2016年7月国家体育总局发布了《体育产业“十三五”规划》；2017年12月，上海市政府发布《关于加快本市文化创意产业创新发展的若干意见》，并提出要“将上海打造为全球电竞之都”；2018年1月，西安市成立了创意动漫电竞产业发展局，并于8月印发了《西安市电竞产业发展规划（2018-2021年）》；2019年以来，多省市颁布或实施促进电竞发展的政策于举措。当我国电竞行业得到国家认可后，其发展速度更加迅猛。</w:t>
      </w:r>
    </w:p>
    <w:p>
      <w:pPr>
        <w:pStyle w:val="style0"/>
        <w:ind w:firstLine="480" w:firstLineChars="200"/>
        <w:rPr>
          <w:rFonts w:ascii="宋体" w:cs="宋体" w:hAnsi="宋体" w:hint="eastAsia"/>
          <w:i w:val="false"/>
          <w:caps w:val="false"/>
          <w:color w:val="000000"/>
          <w:spacing w:val="0"/>
          <w:sz w:val="24"/>
          <w:szCs w:val="24"/>
          <w:shd w:val="clear" w:color="auto" w:fill="ffffff"/>
          <w:lang w:val="en-US" w:eastAsia="zh-CN"/>
        </w:rPr>
      </w:pPr>
      <w:r>
        <w:rPr>
          <w:rFonts w:ascii="宋体" w:cs="宋体" w:hAnsi="宋体" w:hint="eastAsia"/>
          <w:i w:val="false"/>
          <w:caps w:val="false"/>
          <w:color w:val="000000"/>
          <w:spacing w:val="0"/>
          <w:sz w:val="24"/>
          <w:szCs w:val="24"/>
          <w:shd w:val="clear" w:color="auto" w:fill="ffffff"/>
          <w:lang w:val="en-US" w:eastAsia="zh-CN"/>
        </w:rPr>
        <w:t>2015-2019年间，中国电竞行业逐渐被社会、被大众认可，用户量明显增多。随着电竞的迅速发展以及国家的大力支持，社会逐渐认可了电子竞技，电子竞技也得到了更多人的支持，以及更多用户的参与。电子竞技用户从由2014年的0.73亿到2015年的0.98亿、再到2016年、2017年、2018年的1.25亿和1.55亿1.90亿，2019年电子竞技用户突破3.5亿。其中社交化与移动化特性吸引大量没有端游电竞经历的用户接触移动电竞，包括端游电竞覆盖极少的女性与其他用户群体，艾瑞咨询认为，头部移动电竞游戏具有培养整个用户群体的任务与责任，承担着培养市场的任务。未来，用户量以及用户的需求会更多，无论是游戏还是衍生。</w:t>
      </w:r>
    </w:p>
    <w:p>
      <w:pPr>
        <w:pStyle w:val="style0"/>
        <w:ind w:firstLine="480" w:firstLineChars="200"/>
        <w:rPr>
          <w:rFonts w:ascii="宋体" w:cs="宋体" w:hAnsi="宋体" w:hint="default"/>
          <w:i w:val="false"/>
          <w:caps w:val="false"/>
          <w:color w:val="000000"/>
          <w:spacing w:val="0"/>
          <w:sz w:val="24"/>
          <w:szCs w:val="24"/>
          <w:shd w:val="clear" w:color="auto" w:fill="ffffff"/>
          <w:lang w:val="en-US" w:eastAsia="zh-CN"/>
        </w:rPr>
      </w:pPr>
      <w:r>
        <w:rPr>
          <w:rFonts w:ascii="宋体" w:cs="宋体" w:hAnsi="宋体" w:hint="default"/>
          <w:i w:val="false"/>
          <w:caps w:val="false"/>
          <w:color w:val="000000"/>
          <w:spacing w:val="0"/>
          <w:sz w:val="24"/>
          <w:szCs w:val="24"/>
          <w:shd w:val="clear" w:color="auto" w:fill="ffffff"/>
          <w:lang w:val="en-US" w:eastAsia="zh-CN"/>
        </w:rPr>
      </w:r>
      <w:r>
        <w:rPr>
          <w:rFonts w:ascii="宋体" w:cs="宋体" w:hAnsi="宋体" w:hint="default"/>
          <w:i w:val="false"/>
          <w:caps w:val="false"/>
          <w:color w:val="000000"/>
          <w:spacing w:val="0"/>
          <w:sz w:val="24"/>
          <w:szCs w:val="24"/>
          <w:shd w:val="clear" w:color="auto" w:fill="ffffff"/>
          <w:lang w:val="en-US" w:eastAsia="zh-CN"/>
        </w:rPr>
      </w:r>
      <w:r>
        <w:rPr>
          <w:rFonts w:ascii="宋体" w:cs="宋体" w:hAnsi="宋体" w:hint="default"/>
          <w:i w:val="false"/>
          <w:caps w:val="false"/>
          <w:color w:val="000000"/>
          <w:spacing w:val="0"/>
          <w:sz w:val="24"/>
          <w:szCs w:val="24"/>
          <w:shd w:val="clear" w:color="auto" w:fill="ffffff"/>
          <w:lang w:val="en-US" w:eastAsia="zh-CN"/>
        </w:rPr>
      </w:r>
      <w:r>
        <w:rPr>
          <w:rFonts w:ascii="宋体" w:cs="宋体" w:hAnsi="宋体" w:hint="default"/>
          <w:i w:val="false"/>
          <w:caps w:val="false"/>
          <w:color w:val="000000"/>
          <w:spacing w:val="0"/>
          <w:sz w:val="24"/>
          <w:szCs w:val="24"/>
          <w:shd w:val="clear" w:color="auto" w:fill="ffffff"/>
          <w:lang w:val="en-US" w:eastAsia="zh-CN"/>
        </w:rPr>
        <w:drawing>
          <wp:inline distL="114300" distT="0" distB="0" distR="114300">
            <wp:extent cx="4137660" cy="2115185"/>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宋体" w:cs="宋体" w:hAnsi="宋体" w:hint="default"/>
          <w:i w:val="false"/>
          <w:caps w:val="false"/>
          <w:color w:val="000000"/>
          <w:spacing w:val="0"/>
          <w:sz w:val="24"/>
          <w:szCs w:val="24"/>
          <w:shd w:val="clear" w:color="auto" w:fill="ffffff"/>
          <w:lang w:val="en-US" w:eastAsia="zh-CN"/>
        </w:rPr>
      </w:r>
    </w:p>
    <w:p>
      <w:pPr>
        <w:pStyle w:val="style0"/>
        <w:keepNext w:val="false"/>
        <w:keepLines w:val="false"/>
        <w:widowControl/>
        <w:suppressLineNumbers w:val="false"/>
        <w:ind w:firstLine="480" w:firstLineChars="200"/>
        <w:jc w:val="left"/>
        <w:rPr>
          <w:rFonts w:ascii="宋体" w:cs="宋体" w:hAnsi="宋体" w:hint="default"/>
          <w:i w:val="false"/>
          <w:caps w:val="false"/>
          <w:color w:val="000000"/>
          <w:spacing w:val="0"/>
          <w:sz w:val="24"/>
          <w:szCs w:val="24"/>
          <w:shd w:val="clear" w:color="auto" w:fill="ffffff"/>
          <w:lang w:val="en-US" w:eastAsia="zh-CN"/>
        </w:rPr>
      </w:pPr>
      <w:r>
        <w:rPr>
          <w:rFonts w:ascii="宋体" w:cs="宋体" w:hAnsi="宋体" w:hint="eastAsia"/>
          <w:i w:val="false"/>
          <w:caps w:val="false"/>
          <w:color w:val="000000"/>
          <w:spacing w:val="0"/>
          <w:sz w:val="24"/>
          <w:szCs w:val="24"/>
          <w:shd w:val="clear" w:color="auto" w:fill="ffffff"/>
          <w:lang w:val="en-US" w:eastAsia="zh-CN"/>
        </w:rPr>
        <w:t>2015-2019年间，中国电竞行业的整体市场经济飞速发展。2015年中国电竞生态市场规模为306.2亿，2016年达到411.1亿，电竞生态市场规模逐渐攀升，2017年到655.4亿，2018年为862.7亿，2019年突破993亿。其中，2015-2019年间赛事奖金逐渐增加，第三方赛事大量涌现，《王者荣耀》等游戏的带动，腾讯成立独立部门——腾讯电竞，自家品牌的扩大，电竞游戏广告的投放，异业合作有效地提高曝光度，赞助商的大量赞助，以移动游戏直播为主要内容的直播平台出现</w:t>
      </w:r>
      <w:bookmarkStart w:id="0" w:name="_GoBack"/>
      <w:bookmarkEnd w:id="0"/>
      <w:r>
        <w:rPr>
          <w:rFonts w:ascii="宋体" w:cs="宋体" w:hAnsi="宋体" w:hint="eastAsia"/>
          <w:i w:val="false"/>
          <w:caps w:val="false"/>
          <w:color w:val="000000"/>
          <w:spacing w:val="0"/>
          <w:sz w:val="24"/>
          <w:szCs w:val="24"/>
          <w:shd w:val="clear" w:color="auto" w:fill="ffffff"/>
          <w:lang w:val="en-US" w:eastAsia="zh-CN"/>
        </w:rPr>
        <w:t>，许多衍生硬件与服务突出细分市场，大量用户的涌入以及整体电竞观赛习惯的培养等等，都体现了并带动了中国电竞行业的发展，而根据艾瑞咨询所言，在不久的将来，中国电竞会更加优秀。</w:t>
      </w:r>
      <w:r>
        <w:rPr>
          <w:rFonts w:ascii="宋体" w:cs="宋体" w:hAnsi="宋体" w:hint="default"/>
          <w:i w:val="false"/>
          <w:caps w:val="false"/>
          <w:color w:val="000000"/>
          <w:spacing w:val="0"/>
          <w:sz w:val="24"/>
          <w:szCs w:val="24"/>
          <w:shd w:val="clear" w:color="auto" w:fill="ffffff"/>
          <w:lang w:val="en-US" w:eastAsia="zh-CN"/>
        </w:rPr>
      </w:r>
      <w:r>
        <w:rPr>
          <w:rFonts w:ascii="宋体" w:cs="宋体" w:hAnsi="宋体" w:hint="default"/>
          <w:i w:val="false"/>
          <w:caps w:val="false"/>
          <w:color w:val="000000"/>
          <w:spacing w:val="0"/>
          <w:sz w:val="24"/>
          <w:szCs w:val="24"/>
          <w:shd w:val="clear" w:color="auto" w:fill="ffffff"/>
          <w:lang w:val="en-US" w:eastAsia="zh-CN"/>
        </w:rPr>
      </w:r>
      <w:r>
        <w:rPr>
          <w:rFonts w:ascii="宋体" w:cs="宋体" w:hAnsi="宋体" w:hint="default"/>
          <w:i w:val="false"/>
          <w:caps w:val="false"/>
          <w:color w:val="000000"/>
          <w:spacing w:val="0"/>
          <w:sz w:val="24"/>
          <w:szCs w:val="24"/>
          <w:shd w:val="clear" w:color="auto" w:fill="ffffff"/>
          <w:lang w:val="en-US" w:eastAsia="zh-CN"/>
        </w:rPr>
      </w:r>
      <w:r>
        <w:rPr>
          <w:rFonts w:ascii="宋体" w:cs="宋体" w:hAnsi="宋体" w:hint="default"/>
          <w:i w:val="false"/>
          <w:caps w:val="false"/>
          <w:color w:val="000000"/>
          <w:spacing w:val="0"/>
          <w:sz w:val="24"/>
          <w:szCs w:val="24"/>
          <w:shd w:val="clear" w:color="auto" w:fill="ffffff"/>
          <w:lang w:val="en-US" w:eastAsia="zh-CN"/>
        </w:rPr>
        <w:drawing>
          <wp:inline distL="114300" distT="0" distB="0" distR="114300">
            <wp:extent cx="4926965" cy="22479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宋体" w:cs="宋体" w:hAnsi="宋体" w:hint="default"/>
          <w:i w:val="false"/>
          <w:caps w:val="false"/>
          <w:color w:val="000000"/>
          <w:spacing w:val="0"/>
          <w:sz w:val="24"/>
          <w:szCs w:val="24"/>
          <w:shd w:val="clear" w:color="auto" w:fill="ffffff"/>
          <w:lang w:val="en-US" w:eastAsia="zh-CN"/>
        </w:rPr>
      </w:r>
    </w:p>
    <w:p>
      <w:pPr>
        <w:pStyle w:val="style0"/>
        <w:keepNext w:val="false"/>
        <w:keepLines w:val="false"/>
        <w:widowControl/>
        <w:suppressLineNumbers w:val="false"/>
        <w:ind w:firstLine="480" w:firstLineChars="200"/>
        <w:jc w:val="left"/>
        <w:rPr/>
      </w:pPr>
      <w:r>
        <w:rPr>
          <w:rFonts w:ascii="宋体" w:cs="宋体" w:hAnsi="宋体" w:hint="eastAsia"/>
          <w:i w:val="false"/>
          <w:caps w:val="false"/>
          <w:color w:val="000000"/>
          <w:spacing w:val="0"/>
          <w:sz w:val="24"/>
          <w:szCs w:val="24"/>
          <w:shd w:val="clear" w:color="auto" w:fill="ffffff"/>
          <w:lang w:val="en-US" w:eastAsia="zh-CN"/>
        </w:rPr>
        <w:t>2015-2019年间，中国电竞发生了惊人的变化，短短的五年，中国电竞被国家认可，被世人认可，经济发展迅速，并且拥有了大量的科技人才。</w:t>
      </w:r>
      <w:r>
        <w:rPr>
          <w:rFonts w:ascii="宋体" w:cs="宋体" w:eastAsia="宋体" w:hAnsi="宋体" w:hint="eastAsia"/>
          <w:i w:val="false"/>
          <w:caps w:val="false"/>
          <w:color w:val="000000"/>
          <w:spacing w:val="0"/>
          <w:sz w:val="24"/>
          <w:szCs w:val="24"/>
          <w:shd w:val="clear" w:color="auto" w:fill="ffffff"/>
          <w:lang w:val="en-US" w:eastAsia="zh-CN"/>
        </w:rPr>
        <w:t>艾瑞的预言及其趋势告诉我们，中国在电竞行业</w:t>
      </w:r>
      <w:r>
        <w:rPr>
          <w:rFonts w:ascii="宋体" w:cs="宋体" w:hAnsi="宋体" w:hint="eastAsia"/>
          <w:i w:val="false"/>
          <w:caps w:val="false"/>
          <w:color w:val="000000"/>
          <w:spacing w:val="0"/>
          <w:sz w:val="24"/>
          <w:szCs w:val="24"/>
          <w:shd w:val="clear" w:color="auto" w:fill="ffffff"/>
          <w:lang w:val="en-US" w:eastAsia="zh-CN"/>
        </w:rPr>
        <w:t>在未来的</w:t>
      </w:r>
      <w:r>
        <w:rPr>
          <w:rFonts w:ascii="宋体" w:cs="宋体" w:eastAsia="宋体" w:hAnsi="宋体" w:hint="eastAsia"/>
          <w:i w:val="false"/>
          <w:caps w:val="false"/>
          <w:color w:val="000000"/>
          <w:spacing w:val="0"/>
          <w:sz w:val="24"/>
          <w:szCs w:val="24"/>
          <w:shd w:val="clear" w:color="auto" w:fill="ffffff"/>
          <w:lang w:val="en-US" w:eastAsia="zh-CN"/>
        </w:rPr>
        <w:t>的发展中会更加</w:t>
      </w:r>
      <w:r>
        <w:rPr>
          <w:rFonts w:ascii="宋体" w:cs="宋体" w:hAnsi="宋体" w:hint="eastAsia"/>
          <w:i w:val="false"/>
          <w:caps w:val="false"/>
          <w:color w:val="000000"/>
          <w:spacing w:val="0"/>
          <w:sz w:val="24"/>
          <w:szCs w:val="24"/>
          <w:shd w:val="clear" w:color="auto" w:fill="ffffff"/>
          <w:lang w:val="en-US" w:eastAsia="zh-CN"/>
        </w:rPr>
        <w:t>稳定，经过未来的发展，中国电竞也将更加</w:t>
      </w:r>
      <w:r>
        <w:rPr>
          <w:rFonts w:ascii="宋体" w:cs="宋体" w:eastAsia="宋体" w:hAnsi="宋体" w:hint="eastAsia"/>
          <w:i w:val="false"/>
          <w:caps w:val="false"/>
          <w:color w:val="000000"/>
          <w:spacing w:val="0"/>
          <w:sz w:val="24"/>
          <w:szCs w:val="24"/>
          <w:shd w:val="clear" w:color="auto" w:fill="ffffff"/>
          <w:lang w:val="en-US" w:eastAsia="zh-CN"/>
        </w:rPr>
        <w:t>辉煌。</w:t>
      </w:r>
    </w:p>
    <w:p>
      <w:pPr>
        <w:pStyle w:val="style0"/>
        <w:keepNext w:val="false"/>
        <w:keepLines w:val="false"/>
        <w:widowControl/>
        <w:suppressLineNumbers w:val="false"/>
        <w:jc w:val="left"/>
        <w:rPr/>
      </w:pPr>
    </w:p>
    <w:p>
      <w:pPr>
        <w:pStyle w:val="style0"/>
        <w:ind w:firstLine="480" w:firstLineChars="200"/>
        <w:rPr>
          <w:rFonts w:ascii="宋体" w:cs="宋体" w:eastAsia="宋体" w:hAnsi="宋体" w:hint="default"/>
          <w:i w:val="false"/>
          <w:caps w:val="false"/>
          <w:color w:val="000000"/>
          <w:spacing w:val="0"/>
          <w:sz w:val="24"/>
          <w:szCs w:val="24"/>
          <w:shd w:val="clear" w:color="auto" w:fill="ffffff"/>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 Id="rId2" Type="http://schemas.microsoft.com/office/2011/relationships/chartStyle" Target="style2.xml"/><Relationship Id="rId3" Type="http://schemas.microsoft.com/office/2011/relationships/chartColorStyle" Target="colors2.xml"/><Relationship Id="rId4" Type="http://schemas.openxmlformats.org/officeDocument/2006/relationships/themeOverride" Target="../theme/themeOverride2.xml"/></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2015-2019</a:t>
            </a:r>
            <a:r>
              <a:rPr altLang="en-US"/>
              <a:t>年电竞用户量</a:t>
            </a:r>
            <a:endParaRPr lang="en-US" altLang="zh-CN"/>
          </a:p>
        </c:rich>
      </c:tx>
      <c:layout>
        <c:manualLayout>
          <c:xMode val="edge"/>
          <c:yMode val="edge"/>
          <c:x val="0.255064456721915"/>
          <c:y val="0.0450315220654458"/>
        </c:manualLayout>
      </c:layout>
      <c:overlay val="0"/>
      <c:spPr>
        <a:noFill/>
        <a:ln>
          <a:noFill/>
        </a:ln>
        <a:effectLst/>
      </c:spPr>
    </c:title>
    <c:autoTitleDeleted val="0"/>
    <c:plotArea>
      <c:layout>
        <c:manualLayout>
          <c:layoutTarget val="inner"/>
          <c:xMode val="edge"/>
          <c:yMode val="edge"/>
          <c:x val="0.0467735186791917"/>
          <c:y val="0.21339942126155"/>
          <c:w val="0.911111111111111"/>
          <c:h val="0.654027777777778"/>
        </c:manualLayout>
      </c:layout>
      <c:barChart>
        <c:barDir val="col"/>
        <c:grouping val="clustered"/>
        <c:varyColors val="0"/>
        <c:ser>
          <c:idx val="0"/>
          <c:order val="0"/>
          <c:tx>
            <c:strRef>
              <c:f>Sheet1!$B$1</c:f>
              <c:strCache>
                <c:ptCount val="1"/>
                <c:pt idx="0">
                  <c:v>电子竞技用户/亿人</c:v>
                </c:pt>
              </c:strCache>
            </c:strRef>
          </c:tx>
          <c:spPr>
            <a:solidFill>
              <a:srgbClr val="365B7C"/>
            </a:solidFill>
            <a:ln w="57150" cmpd="dbl">
              <a:solidFill>
                <a:srgbClr val="365B7C"/>
              </a:solid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2015.0</c:v>
                </c:pt>
                <c:pt idx="1">
                  <c:v>2016.0</c:v>
                </c:pt>
                <c:pt idx="2">
                  <c:v>2017.0</c:v>
                </c:pt>
                <c:pt idx="3">
                  <c:v>2018.0</c:v>
                </c:pt>
                <c:pt idx="4">
                  <c:v>2019.0</c:v>
                </c:pt>
              </c:numCache>
            </c:numRef>
          </c:cat>
          <c:val>
            <c:numRef>
              <c:f>Sheet1!$B$2:$B$6</c:f>
              <c:numCache>
                <c:formatCode>General</c:formatCode>
                <c:ptCount val="5"/>
                <c:pt idx="0">
                  <c:v>0.98</c:v>
                </c:pt>
                <c:pt idx="1">
                  <c:v>1.25</c:v>
                </c:pt>
                <c:pt idx="2">
                  <c:v>1.55</c:v>
                </c:pt>
                <c:pt idx="3">
                  <c:v>1.9</c:v>
                </c:pt>
                <c:pt idx="4">
                  <c:v>3.5</c:v>
                </c:pt>
              </c:numCache>
            </c:numRef>
          </c:val>
        </c:ser>
        <c:dLbls>
          <c:showLegendKey val="0"/>
          <c:showVal val="1"/>
          <c:showCatName val="0"/>
          <c:showSerName val="0"/>
          <c:showPercent val="0"/>
          <c:showBubbleSize val="0"/>
        </c:dLbls>
        <c:gapWidth val="269"/>
        <c:overlap val="-55"/>
        <c:axId val="497548562"/>
        <c:axId val="20002376"/>
      </c:barChart>
      <c:catAx>
        <c:axId val="497548562"/>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0002376"/>
        <c:crosses val="autoZero"/>
        <c:auto val="1"/>
        <c:lblAlgn val="ctr"/>
        <c:lblOffset val="100"/>
        <c:noMultiLvlLbl val="0"/>
      </c:catAx>
      <c:valAx>
        <c:axId val="2000237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49754856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2015-2019</a:t>
            </a:r>
            <a:r>
              <a:rPr altLang="en-US"/>
              <a:t>年中国电竞行业的整体市场</a:t>
            </a:r>
            <a:endParaRPr lang="en-US" altLang="zh-CN"/>
          </a:p>
        </c:rich>
      </c:tx>
      <c:layout/>
      <c:overlay val="0"/>
      <c:spPr>
        <a:noFill/>
        <a:ln>
          <a:noFill/>
        </a:ln>
        <a:effectLst/>
      </c:spPr>
    </c:title>
    <c:autoTitleDeleted val="0"/>
    <c:plotArea>
      <c:layout>
        <c:manualLayout>
          <c:layoutTarget val="inner"/>
          <c:xMode val="edge"/>
          <c:yMode val="edge"/>
          <c:x val="0.0559816218099468"/>
          <c:y val="0.247865112907836"/>
          <c:w val="0.911111111111111"/>
          <c:h val="0.654027777777778"/>
        </c:manualLayout>
      </c:layout>
      <c:barChart>
        <c:barDir val="col"/>
        <c:grouping val="clustered"/>
        <c:varyColors val="0"/>
        <c:ser>
          <c:idx val="0"/>
          <c:order val="0"/>
          <c:tx>
            <c:strRef>
              <c:f>Sheet1!$B$1</c:f>
              <c:strCache>
                <c:ptCount val="1"/>
                <c:pt idx="0">
                  <c:v>电竞整体市场经济/亿元</c:v>
                </c:pt>
              </c:strCache>
            </c:strRef>
          </c:tx>
          <c:spPr>
            <a:solidFill>
              <a:srgbClr val="365B7C"/>
            </a:solidFill>
            <a:ln w="57150" cmpd="dbl">
              <a:solidFill>
                <a:srgbClr val="365B7C"/>
              </a:solid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2015.0</c:v>
                </c:pt>
                <c:pt idx="1">
                  <c:v>2016.0</c:v>
                </c:pt>
                <c:pt idx="2">
                  <c:v>2017.0</c:v>
                </c:pt>
                <c:pt idx="3">
                  <c:v>2018.0</c:v>
                </c:pt>
                <c:pt idx="4">
                  <c:v>2019.0</c:v>
                </c:pt>
              </c:numCache>
            </c:numRef>
          </c:cat>
          <c:val>
            <c:numRef>
              <c:f>Sheet1!$B$2:$B$6</c:f>
              <c:numCache>
                <c:formatCode>General</c:formatCode>
                <c:ptCount val="5"/>
                <c:pt idx="0">
                  <c:v>306.2</c:v>
                </c:pt>
                <c:pt idx="1">
                  <c:v>411.1</c:v>
                </c:pt>
                <c:pt idx="2">
                  <c:v>655.4</c:v>
                </c:pt>
                <c:pt idx="3">
                  <c:v>862.7</c:v>
                </c:pt>
                <c:pt idx="4">
                  <c:v>993.0</c:v>
                </c:pt>
              </c:numCache>
            </c:numRef>
          </c:val>
        </c:ser>
        <c:dLbls>
          <c:showLegendKey val="0"/>
          <c:showVal val="1"/>
          <c:showCatName val="0"/>
          <c:showSerName val="0"/>
          <c:showPercent val="0"/>
          <c:showBubbleSize val="0"/>
        </c:dLbls>
        <c:gapWidth val="269"/>
        <c:overlap val="-55"/>
        <c:axId val="518995229"/>
        <c:axId val="829861865"/>
      </c:barChart>
      <c:catAx>
        <c:axId val="518995229"/>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29861865"/>
        <c:crosses val="autoZero"/>
        <c:auto val="1"/>
        <c:lblAlgn val="ctr"/>
        <c:lblOffset val="100"/>
        <c:noMultiLvlLbl val="0"/>
      </c:catAx>
      <c:valAx>
        <c:axId val="82986186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518995229"/>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1328</Words>
  <Pages>1</Pages>
  <Characters>1499</Characters>
  <Application>WPS Office</Application>
  <DocSecurity>0</DocSecurity>
  <Paragraphs>12</Paragraphs>
  <ScaleCrop>false</ScaleCrop>
  <LinksUpToDate>false</LinksUpToDate>
  <CharactersWithSpaces>1500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2021-03-22T02:07:00Z</dcterms:created>
  <dc:creator>begining</dc:creator>
  <lastModifiedBy>HLK-AL10</lastModifiedBy>
  <dcterms:modified xsi:type="dcterms:W3CDTF">2021-03-27T03:48:11Z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