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第65期党的发展对象培训班第二次小组讨论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学院：音乐与舞蹈学院  年级与专业：19音乐学（闽台合作）    姓名：陈晓倩</w:t>
      </w:r>
    </w:p>
    <w:p>
      <w:pPr>
        <w:ind w:firstLine="320" w:firstLineChars="100"/>
        <w:rPr>
          <w:rFonts w:hint="eastAsia" w:ascii="仿宋_GB2312" w:hAnsi="仿宋_GB2312" w:eastAsia="仿宋_GB2312" w:cs="仿宋_GB2312"/>
          <w:sz w:val="32"/>
          <w:szCs w:val="32"/>
          <w:lang w:val="en-US" w:eastAsia="zh-CN"/>
        </w:rPr>
      </w:pP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eastAsia" w:eastAsia="-webkit-standard" w:cs="Calibri"/>
          <w:b w:val="0"/>
          <w:i w:val="0"/>
          <w:caps w:val="0"/>
          <w:color w:val="000000"/>
          <w:spacing w:val="0"/>
          <w:kern w:val="0"/>
          <w:sz w:val="15"/>
          <w:szCs w:val="15"/>
          <w:u w:val="none"/>
          <w:lang w:val="en-US" w:eastAsia="zh-CN" w:bidi="ar"/>
        </w:rPr>
        <w:t>3</w:t>
      </w:r>
      <w:r>
        <w:rPr>
          <w:rFonts w:hint="default" w:ascii="Calibri" w:hAnsi="Calibri" w:eastAsia="-webkit-standard" w:cs="Calibri"/>
          <w:b w:val="0"/>
          <w:i w:val="0"/>
          <w:caps w:val="0"/>
          <w:color w:val="000000"/>
          <w:spacing w:val="0"/>
          <w:kern w:val="0"/>
          <w:sz w:val="15"/>
          <w:szCs w:val="15"/>
          <w:u w:val="none"/>
          <w:lang w:val="en-US" w:eastAsia="zh-CN" w:bidi="ar"/>
        </w:rPr>
        <w:t>、 </w:t>
      </w:r>
      <w:r>
        <w:rPr>
          <w:rFonts w:hint="default" w:ascii="Calibri" w:hAnsi="Calibri" w:eastAsia="-webkit-standard" w:cs="Calibri"/>
          <w:b w:val="0"/>
          <w:i w:val="0"/>
          <w:caps w:val="0"/>
          <w:color w:val="000000"/>
          <w:spacing w:val="0"/>
          <w:kern w:val="0"/>
          <w:sz w:val="24"/>
          <w:szCs w:val="24"/>
          <w:u w:val="none"/>
          <w:lang w:val="en-US" w:eastAsia="zh-CN" w:bidi="ar"/>
        </w:rPr>
        <w:t>今年是建党一百周年，回顾历史，我党历史上有许多重大事件，如南昌起义、八七会议、十一届三中全会等。</w:t>
      </w:r>
    </w:p>
    <w:p>
      <w:pPr>
        <w:widowControl/>
        <w:spacing w:beforeAutospacing="0" w:after="0" w:afterAutospacing="0"/>
        <w:ind w:left="0" w:firstLine="480"/>
        <w:jc w:val="both"/>
        <w:rPr>
          <w:rFonts w:hint="default" w:ascii="Calibri" w:hAnsi="Calibri" w:eastAsia="-webkit-standard" w:cs="Calibri"/>
          <w:b w:val="0"/>
          <w:i w:val="0"/>
          <w:caps w:val="0"/>
          <w:color w:val="000000"/>
          <w:spacing w:val="0"/>
          <w:kern w:val="0"/>
          <w:sz w:val="24"/>
          <w:szCs w:val="24"/>
          <w:u w:val="none"/>
          <w:lang w:val="en-US" w:eastAsia="zh-CN" w:bidi="ar"/>
        </w:rPr>
      </w:pPr>
      <w:r>
        <w:rPr>
          <w:rFonts w:hint="default" w:ascii="Calibri" w:hAnsi="Calibri" w:eastAsia="-webkit-standard" w:cs="Calibri"/>
          <w:b w:val="0"/>
          <w:i w:val="0"/>
          <w:caps w:val="0"/>
          <w:color w:val="000000"/>
          <w:spacing w:val="0"/>
          <w:kern w:val="0"/>
          <w:sz w:val="24"/>
          <w:szCs w:val="24"/>
          <w:u w:val="none"/>
          <w:lang w:val="en-US" w:eastAsia="zh-CN" w:bidi="ar"/>
        </w:rPr>
        <w:t>3.1 请选择其中一个历史事件简要介绍，并谈谈你对其意义的认识；</w:t>
      </w:r>
    </w:p>
    <w:p>
      <w:pPr>
        <w:widowControl/>
        <w:spacing w:beforeAutospacing="0" w:after="0" w:afterAutospacing="0"/>
        <w:ind w:left="0" w:leftChars="0" w:firstLine="0" w:firstLineChars="0"/>
        <w:jc w:val="both"/>
        <w:rPr>
          <w:rFonts w:hint="default" w:ascii="Calibri" w:hAnsi="Calibri" w:eastAsia="-webkit-standard" w:cs="Calibri"/>
          <w:b w:val="0"/>
          <w:i w:val="0"/>
          <w:caps w:val="0"/>
          <w:color w:val="000000"/>
          <w:spacing w:val="0"/>
          <w:kern w:val="0"/>
          <w:sz w:val="24"/>
          <w:szCs w:val="24"/>
          <w:u w:val="none"/>
          <w:lang w:val="en-US" w:eastAsia="zh-CN" w:bidi="ar"/>
        </w:rPr>
      </w:pPr>
      <w:r>
        <w:rPr>
          <w:rFonts w:hint="eastAsia" w:eastAsia="-webkit-standard" w:cs="Calibri"/>
          <w:b w:val="0"/>
          <w:i w:val="0"/>
          <w:caps w:val="0"/>
          <w:color w:val="000000"/>
          <w:spacing w:val="0"/>
          <w:kern w:val="0"/>
          <w:sz w:val="24"/>
          <w:szCs w:val="24"/>
          <w:u w:val="none"/>
          <w:lang w:val="en-US" w:eastAsia="zh-CN" w:bidi="ar"/>
        </w:rPr>
        <w:t>答</w:t>
      </w:r>
      <w:r>
        <w:rPr>
          <w:rFonts w:hint="default" w:eastAsia="-webkit-standard" w:cs="Calibri"/>
          <w:b w:val="0"/>
          <w:i w:val="0"/>
          <w:caps w:val="0"/>
          <w:color w:val="000000"/>
          <w:spacing w:val="0"/>
          <w:kern w:val="0"/>
          <w:sz w:val="24"/>
          <w:szCs w:val="24"/>
          <w:u w:val="none"/>
          <w:lang w:val="en-US" w:eastAsia="zh-CN" w:bidi="ar"/>
        </w:rPr>
        <w:t>:</w:t>
      </w:r>
    </w:p>
    <w:p>
      <w:pPr>
        <w:widowControl/>
        <w:spacing w:beforeAutospacing="0" w:after="0" w:afterAutospacing="0"/>
        <w:ind w:left="0" w:firstLine="480"/>
        <w:jc w:val="both"/>
        <w:rPr>
          <w:rFonts w:hint="eastAsia" w:ascii="仿宋_GB2312" w:hAnsi="仿宋_GB2312" w:eastAsia="仿宋_GB2312" w:cs="仿宋_GB2312"/>
          <w:b w:val="0"/>
          <w:i w:val="0"/>
          <w:caps w:val="0"/>
          <w:color w:val="212121"/>
          <w:spacing w:val="0"/>
          <w:sz w:val="32"/>
          <w:szCs w:val="32"/>
        </w:rPr>
      </w:pPr>
      <w:r>
        <w:rPr>
          <w:rFonts w:hint="default" w:ascii="Calibri" w:hAnsi="Calibri" w:eastAsia="-webkit-standard" w:cs="Calibri"/>
          <w:b w:val="0"/>
          <w:i w:val="0"/>
          <w:caps w:val="0"/>
          <w:color w:val="000000"/>
          <w:spacing w:val="0"/>
          <w:kern w:val="0"/>
          <w:sz w:val="24"/>
          <w:szCs w:val="24"/>
          <w:u w:val="none"/>
          <w:lang w:val="en-US" w:eastAsia="zh-CN" w:bidi="ar"/>
        </w:rPr>
        <w:t>3.2 2月20日，党史学习教育动员大会在北京召开。谈谈你对党史工作的认识</w:t>
      </w:r>
      <w:r>
        <w:rPr>
          <w:rFonts w:hint="eastAsia" w:eastAsia="-webkit-standard" w:cs="Calibri"/>
          <w:b w:val="0"/>
          <w:i w:val="0"/>
          <w:caps w:val="0"/>
          <w:color w:val="000000"/>
          <w:spacing w:val="0"/>
          <w:kern w:val="0"/>
          <w:sz w:val="24"/>
          <w:szCs w:val="24"/>
          <w:u w:val="none"/>
          <w:lang w:val="en-US" w:eastAsia="zh-CN" w:bidi="ar"/>
        </w:rPr>
        <w:t>。</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p>
    <w:p>
      <w:pPr>
        <w:widowControl w:val="0"/>
        <w:numPr>
          <w:ilvl w:val="0"/>
          <w:numId w:val="1"/>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昌起义是中国共产党直接领导的带有全局意义的一次武装起义，打响了武装反抗国民党反动统治的第一枪，同时也是中国共产党独立领导武装革命战争和创建人民军队开始的标志。南昌起义也扩大了我党的影响力，奠定了良好的群众基础，掀起了一波反抗国民党独裁统治的革命浪潮。</w:t>
      </w:r>
    </w:p>
    <w:p>
      <w:pPr>
        <w:widowControl w:val="0"/>
        <w:numPr>
          <w:ilvl w:val="0"/>
          <w:numId w:val="1"/>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进建设有中国特色社会主义事业，如果没有全党的解放思想、实事求是，就不可能有改革开放和现代化建设一系列的政策，也就不可能有今天事业发展的大好局面。解放思 想、实事求是，就是为我们党和国家的事业不断适应国情与时代、形势与任务的要求。对</w:t>
      </w:r>
      <w:bookmarkStart w:id="0" w:name="_GoBack"/>
      <w:bookmarkEnd w:id="0"/>
      <w:r>
        <w:rPr>
          <w:rFonts w:hint="eastAsia" w:ascii="仿宋_GB2312" w:hAnsi="仿宋_GB2312" w:eastAsia="仿宋_GB2312" w:cs="仿宋_GB2312"/>
          <w:sz w:val="32"/>
          <w:szCs w:val="32"/>
          <w:lang w:val="en-US" w:eastAsia="zh-CN"/>
        </w:rPr>
        <w:t>于安于现状、因循守旧、不思进取、无所作为的思想、都不利于党和国家事业的发展。</w:t>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webkit-standard">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05F71"/>
    <w:multiLevelType w:val="singleLevel"/>
    <w:tmpl w:val="73E05F7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32A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Lines>0</Lines>
  <Paragraphs>15</Paragraphs>
  <TotalTime>7</TotalTime>
  <ScaleCrop>false</ScaleCrop>
  <LinksUpToDate>false</LinksUpToDate>
  <CharactersWithSpaces>135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2020-10-12T16:25:00Z</dcterms:created>
  <dc:creator>吾静</dc:creator>
  <cp:lastModifiedBy>Demon</cp:lastModifiedBy>
  <dcterms:modified xsi:type="dcterms:W3CDTF">2021-03-30T14:48:52Z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