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ackground w:color="ffffff"/>
  <w:body>
    <w:p>
      <w:pPr>
        <w:pStyle w:val="style0"/>
        <w:jc w:val="center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第65期党的发展对象培训班第</w:t>
      </w:r>
      <w:r>
        <w:rPr>
          <w:rFonts w:ascii="仿宋_GB2312" w:cs="仿宋_GB2312" w:eastAsia="仿宋_GB2312" w:hAnsi="仿宋_GB2312" w:hint="eastAsia"/>
          <w:sz w:val="32"/>
          <w:szCs w:val="32"/>
        </w:rPr>
        <w:t>二</w:t>
      </w:r>
      <w:r>
        <w:rPr>
          <w:rFonts w:ascii="仿宋_GB2312" w:cs="仿宋_GB2312" w:eastAsia="仿宋_GB2312" w:hAnsi="仿宋_GB2312" w:hint="eastAsia"/>
          <w:sz w:val="32"/>
          <w:szCs w:val="32"/>
        </w:rPr>
        <w:t>次小组讨论</w:t>
      </w:r>
    </w:p>
    <w:p>
      <w:pPr>
        <w:pStyle w:val="style0"/>
        <w:ind w:firstLine="3520" w:firstLineChars="1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  <w:r>
        <w:rPr>
          <w:rFonts w:ascii="仿宋_GB2312" w:cs="仿宋_GB2312" w:eastAsia="仿宋_GB2312" w:hAnsi="仿宋_GB2312" w:hint="eastAsia"/>
          <w:sz w:val="32"/>
          <w:szCs w:val="32"/>
        </w:rPr>
        <w:t>学院：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体育学院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   年级与专业：</w:t>
      </w:r>
      <w:r>
        <w:rPr>
          <w:rFonts w:ascii="仿宋_GB2312" w:cs="仿宋_GB2312" w:eastAsia="仿宋_GB2312" w:hAnsi="仿宋_GB2312" w:hint="default"/>
          <w:sz w:val="32"/>
          <w:szCs w:val="32"/>
          <w:lang w:val="en-US"/>
        </w:rPr>
        <w:t>18</w:t>
      </w:r>
      <w:r>
        <w:rPr>
          <w:rFonts w:ascii="仿宋_GB2312" w:cs="仿宋_GB2312" w:eastAsia="仿宋_GB2312" w:hAnsi="仿宋_GB2312" w:hint="eastAsia"/>
          <w:sz w:val="32"/>
          <w:szCs w:val="32"/>
          <w:lang w:val="en-US" w:eastAsia="zh-CN"/>
        </w:rPr>
        <w:t>级体教二班</w:t>
      </w:r>
      <w:r>
        <w:rPr>
          <w:rFonts w:ascii="仿宋_GB2312" w:cs="仿宋_GB2312" w:eastAsia="仿宋_GB2312" w:hAnsi="仿宋_GB2312" w:hint="eastAsia"/>
          <w:sz w:val="32"/>
          <w:szCs w:val="32"/>
        </w:rPr>
        <w:t xml:space="preserve">        姓名：</w:t>
      </w:r>
      <w:r>
        <w:rPr>
          <w:rFonts w:ascii="仿宋_GB2312" w:cs="仿宋_GB2312" w:eastAsia="仿宋_GB2312" w:hAnsi="仿宋_GB2312" w:hint="eastAsia"/>
          <w:sz w:val="32"/>
          <w:szCs w:val="32"/>
          <w:lang w:eastAsia="zh-CN"/>
        </w:rPr>
        <w:t>陈淋</w:t>
      </w:r>
    </w:p>
    <w:p>
      <w:pPr>
        <w:pStyle w:val="style0"/>
        <w:ind w:firstLine="320" w:firstLineChars="10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widowControl/>
        <w:rPr>
          <w:rFonts w:cs="Calibri" w:eastAsia="宋体"/>
          <w:color w:val="000000"/>
          <w:kern w:val="0"/>
          <w:sz w:val="24"/>
        </w:rPr>
      </w:pPr>
      <w:r>
        <w:rPr>
          <w:rFonts w:cs="Calibri" w:eastAsia="-webkit-standard"/>
          <w:color w:val="000000"/>
          <w:kern w:val="0"/>
          <w:sz w:val="24"/>
        </w:rPr>
        <w:t>1921</w:t>
      </w:r>
      <w:r>
        <w:rPr>
          <w:rFonts w:cs="Calibri" w:eastAsia="-webkit-standard"/>
          <w:color w:val="000000"/>
          <w:kern w:val="0"/>
          <w:sz w:val="24"/>
        </w:rPr>
        <w:t>年建党的伟人有李汉俊、李达、张国焘、刘仁静、毛泽东、何叔衡、董必武等。试选一人，自选角度，说一说他们的生平故事，谈一谈你的感想。</w:t>
      </w:r>
    </w:p>
    <w:p>
      <w:pPr>
        <w:pStyle w:val="style0"/>
        <w:widowControl/>
        <w:rPr>
          <w:rFonts w:cs="Calibri" w:eastAsia="宋体" w:hint="eastAsia"/>
          <w:color w:val="000000"/>
          <w:kern w:val="0"/>
          <w:sz w:val="24"/>
        </w:rPr>
      </w:pPr>
    </w:p>
    <w:p>
      <w:pPr>
        <w:pStyle w:val="style0"/>
        <w:widowControl/>
        <w:rPr>
          <w:rFonts w:cs="Calibri" w:eastAsia="-webkit-standard"/>
          <w:color w:val="000000"/>
          <w:kern w:val="0"/>
          <w:sz w:val="24"/>
        </w:rPr>
      </w:pPr>
      <w:r>
        <w:rPr>
          <w:rFonts w:cs="Calibri" w:eastAsia="-webkit-standard" w:hint="eastAsia"/>
          <w:color w:val="000000"/>
          <w:kern w:val="0"/>
          <w:sz w:val="24"/>
        </w:rPr>
        <w:t>答</w:t>
      </w:r>
      <w:r>
        <w:rPr>
          <w:rFonts w:cs="Calibri" w:eastAsia="-webkit-standard"/>
          <w:color w:val="000000"/>
          <w:kern w:val="0"/>
          <w:sz w:val="24"/>
        </w:rPr>
        <w:t>:</w:t>
      </w:r>
      <w:r>
        <w:rPr>
          <w:rFonts w:cs="Calibri" w:hint="eastAsia"/>
          <w:color w:val="000000"/>
          <w:kern w:val="0"/>
          <w:sz w:val="24"/>
          <w:lang w:eastAsia="zh-CN"/>
        </w:rPr>
        <w:t>世纪伟人毛泽东胸怀博大、豁达豪爽、无私无畏、意志如钢，是条平常轻易不流泪的硬汉子。即便爱子毛岸英在朝鲜战场光荣牺牲，他也未在公开场合落过泪。但是，在他那波澜壮阔、雄奇丰富、功勋卓著的革命生涯中，却还是有那么几次落下热泪的时候，是个爱动感情的人，呈现出温情细致的一面。虽然素有“男儿有泪不轻弹”之说，可也公认“无情未必真豪杰”。毛泽东正是这样的人。对此，毛泽东有过一次言简意赅的明确阐述——1937年在延安当他看到贺子珍去意已定时，极力挽留她。他知道，她这个时候提出要走，同自己有关，曾经说了一番十分动情的话：“我这个人平时不爱落泪，只在三种情况下流过眼泪：一是我听不得穷苦老百姓的哭声，看到他们受苦，我忍不住要掉泪。二是跟过我的通讯员，我舍不得他们离开，有的通讯员牺牲了，我难过得落泪。我这个人就是这样，骑过的马老了，死了，用过的钢笔旧了，我舍不得换掉。三是在贵州，听说你负了伤，要不行了，我掉了泪。”</w:t>
      </w:r>
    </w:p>
    <w:p>
      <w:pPr>
        <w:pStyle w:val="style0"/>
        <w:widowControl/>
        <w:rPr>
          <w:rFonts w:ascii="-webkit-standard" w:cs="-webkit-standard" w:eastAsia="-webkit-standard" w:hAnsi="-webkit-standard"/>
          <w:color w:val="000000"/>
          <w:sz w:val="27"/>
          <w:szCs w:val="27"/>
        </w:rPr>
      </w:pPr>
      <w:r>
        <w:rPr>
          <w:rFonts w:ascii="-webkit-standard" w:cs="-webkit-standard" w:eastAsia="-webkit-standard" w:hAnsi="-webkit-standard"/>
          <w:color w:val="000000"/>
          <w:kern w:val="0"/>
          <w:sz w:val="27"/>
          <w:szCs w:val="27"/>
        </w:rPr>
        <w:t> </w:t>
      </w: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sz w:val="32"/>
          <w:szCs w:val="32"/>
        </w:rPr>
      </w:pPr>
    </w:p>
    <w:p>
      <w:pPr>
        <w:pStyle w:val="style0"/>
        <w:rPr>
          <w:rFonts w:ascii="仿宋_GB2312" w:cs="仿宋_GB2312" w:eastAsia="仿宋_GB2312" w:hAnsi="仿宋_GB2312"/>
          <w:color w:val="000000"/>
          <w:sz w:val="32"/>
          <w:szCs w:val="32"/>
          <w:shd w:val="clear" w:color="auto" w:fill="ffffff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embedSystemFonts/>
  <w:bordersDoNotSurroundHeader/>
  <w:bordersDoNotSurroundFooter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宋体" w:hAnsi="Times New Roman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Calibri" w:cs="宋体" w:hAnsi="Calibri"/>
      <w:kern w:val="2"/>
      <w:sz w:val="21"/>
      <w:szCs w:val="24"/>
    </w:rPr>
  </w:style>
  <w:style w:type="paragraph" w:styleId="style1">
    <w:name w:val="heading 1"/>
    <w:basedOn w:val="style0"/>
    <w:next w:val="style0"/>
    <w:qFormat/>
    <w:pPr>
      <w:spacing w:beforeAutospacing="true" w:afterAutospacing="true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506</Words>
  <Pages>1</Pages>
  <Characters>516</Characters>
  <Application>WPS Office</Application>
  <DocSecurity>0</DocSecurity>
  <Paragraphs>16</Paragraphs>
  <ScaleCrop>false</ScaleCrop>
  <LinksUpToDate>false</LinksUpToDate>
  <CharactersWithSpaces>536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2021-03-29T12:21:00Z</dcterms:created>
  <dc:creator>吾静</dc:creator>
  <lastModifiedBy>WLZ-AL10</lastModifiedBy>
  <dcterms:modified xsi:type="dcterms:W3CDTF">2021-03-29T12:55:01Z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