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lang w:val="en-US" w:eastAsia="zh-CN"/>
        </w:rPr>
      </w:pPr>
      <w:r>
        <w:rPr>
          <w:rFonts w:hint="eastAsia"/>
          <w:lang w:val="en-US" w:eastAsia="zh-CN"/>
        </w:rPr>
        <w:t>3.1 请选择其中一个历史事件简要介绍，并谈谈你对其意义的认识；</w:t>
      </w:r>
    </w:p>
    <w:p>
      <w:pPr>
        <w:rPr>
          <w:rFonts w:hint="eastAsia"/>
        </w:rPr>
      </w:pPr>
      <w:r>
        <w:rPr>
          <w:rFonts w:hint="eastAsia"/>
        </w:rPr>
        <w:t>西晋八国之乱</w:t>
      </w:r>
    </w:p>
    <w:p>
      <w:pPr>
        <w:rPr>
          <w:rFonts w:hint="eastAsia"/>
        </w:rPr>
      </w:pPr>
      <w:r>
        <w:rPr>
          <w:rFonts w:hint="eastAsia"/>
        </w:rPr>
        <w:t>八王之乱是发生于中国西晋时期的一场皇族为争夺中央政权而引发的内乱，因皇后贾南风干政弄权所引发。</w:t>
      </w:r>
    </w:p>
    <w:p>
      <w:pPr>
        <w:rPr>
          <w:rFonts w:hint="eastAsia"/>
        </w:rPr>
      </w:pPr>
      <w:r>
        <w:rPr>
          <w:rFonts w:hint="eastAsia"/>
        </w:rPr>
        <w:t>这次动乱共历时十六年，分为前后两个阶段：第一阶段从元康元年（291年）三月到六月，持续三个月；第二阶段，从元康九年（299年）到光熙元年（306年），历时七年。</w:t>
      </w:r>
    </w:p>
    <w:p>
      <w:pPr>
        <w:rPr>
          <w:rFonts w:hint="eastAsia"/>
        </w:rPr>
      </w:pPr>
      <w:r>
        <w:rPr>
          <w:rFonts w:hint="eastAsia"/>
        </w:rPr>
        <w:t>其核心人物有汝南王司马亮、楚王司马玮、赵王司马伦、齐王司马冏、长沙王司马乂、成都王司马颖、河间王司马颙、东海王司马越八王。</w:t>
      </w:r>
    </w:p>
    <w:p>
      <w:pPr>
        <w:rPr>
          <w:rFonts w:hint="eastAsia"/>
        </w:rPr>
      </w:pPr>
      <w:r>
        <w:rPr>
          <w:rFonts w:hint="eastAsia"/>
        </w:rPr>
        <w:t>西晋皇族中参与这场动乱的王不止八个，但八王为主要参与者，且《晋书》将八王汇为一列传，故史称这次动乱为“八王之乱”。</w:t>
      </w:r>
    </w:p>
    <w:p>
      <w:pPr>
        <w:numPr>
          <w:numId w:val="0"/>
        </w:numPr>
        <w:rPr>
          <w:rFonts w:hint="eastAsia"/>
        </w:rPr>
      </w:pPr>
      <w:r>
        <w:rPr>
          <w:rFonts w:hint="eastAsia"/>
          <w:lang w:val="en-US" w:eastAsia="zh-CN"/>
        </w:rPr>
        <w:t>3.</w:t>
      </w:r>
      <w:r>
        <w:rPr>
          <w:rFonts w:hint="eastAsia"/>
        </w:rPr>
        <w:t>2</w:t>
      </w:r>
      <w:r>
        <w:rPr>
          <w:rFonts w:hint="eastAsia"/>
          <w:lang w:val="en-US" w:eastAsia="zh-CN"/>
        </w:rPr>
        <w:t xml:space="preserve">  </w:t>
      </w:r>
      <w:bookmarkStart w:id="0" w:name="_GoBack"/>
      <w:bookmarkEnd w:id="0"/>
      <w:r>
        <w:rPr>
          <w:rFonts w:hint="eastAsia"/>
        </w:rPr>
        <w:t xml:space="preserve"> 2月20日，党史学习教育动员大会在北京召开。谈谈你对党史工作的认识。</w:t>
      </w:r>
    </w:p>
    <w:p>
      <w:r>
        <w:rPr>
          <w:rFonts w:hint="eastAsia"/>
        </w:rPr>
        <w:t>我们党的100年，是矢志践行初心使命的100年，是毕路蓝缕奠基立业的100年是创造辉煌开辟未来的100年。回望过往的奋斗路，眺望前方的奋进路，必须把党的历史学习好，总结好，把党的成功经验传承好，发扬好，牢记初心，不忘使命，推进中华民族伟大复兴历史伟业的必然要求，是坚定信仰信念，在新时代坚持和发展中国特色社会主义的必然要求，推进党的自我革命，永葆党的生机活力活力的必然要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B80A1D"/>
    <w:rsid w:val="09B80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2021-03-29T00:37:00Z</dcterms:created>
  <dc:creator>WPS_1536384374</dc:creator>
  <cp:lastModifiedBy>WPS_1536384374</cp:lastModifiedBy>
  <dcterms:modified xsi:type="dcterms:W3CDTF">2021-03-29T00:41:17Z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