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92AF524" w14:textId="1512B913" w:rsidR="00B7475B" w:rsidRDefault="000408BB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</w:t>
      </w:r>
      <w:r w:rsidR="00D82574"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次小组讨论</w:t>
      </w:r>
    </w:p>
    <w:p w14:paraId="100B465D" w14:textId="77777777" w:rsidR="00B7475B" w:rsidRDefault="00B7475B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1B9720EC" w14:textId="6BB9C83D" w:rsidR="00B7475B" w:rsidRDefault="000408BB" w:rsidP="00D8257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D82574">
        <w:rPr>
          <w:rFonts w:ascii="仿宋_GB2312" w:eastAsia="仿宋_GB2312" w:hAnsi="仿宋_GB2312" w:cs="仿宋_GB2312" w:hint="eastAsia"/>
          <w:sz w:val="32"/>
          <w:szCs w:val="32"/>
        </w:rPr>
        <w:t>化工与材料学院</w:t>
      </w:r>
      <w:r w:rsidR="00D82574"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D82574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D82574">
        <w:rPr>
          <w:rFonts w:ascii="仿宋_GB2312" w:eastAsia="仿宋_GB2312" w:hAnsi="仿宋_GB2312" w:cs="仿宋_GB2312"/>
          <w:sz w:val="32"/>
          <w:szCs w:val="32"/>
        </w:rPr>
        <w:t>9</w:t>
      </w:r>
      <w:r w:rsidR="00D82574">
        <w:rPr>
          <w:rFonts w:ascii="仿宋_GB2312" w:eastAsia="仿宋_GB2312" w:hAnsi="仿宋_GB2312" w:cs="仿宋_GB2312" w:hint="eastAsia"/>
          <w:sz w:val="32"/>
          <w:szCs w:val="32"/>
        </w:rPr>
        <w:t xml:space="preserve">材化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D82574">
        <w:rPr>
          <w:rFonts w:ascii="仿宋_GB2312" w:eastAsia="仿宋_GB2312" w:hAnsi="仿宋_GB2312" w:cs="仿宋_GB2312" w:hint="eastAsia"/>
          <w:sz w:val="32"/>
          <w:szCs w:val="32"/>
        </w:rPr>
        <w:t>许一昊</w:t>
      </w:r>
    </w:p>
    <w:p w14:paraId="0FD6CDFC" w14:textId="77777777" w:rsidR="00B7475B" w:rsidRDefault="00B7475B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3EA904A1" w14:textId="77777777" w:rsidR="00B7475B" w:rsidRDefault="000408BB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0A077F56" w14:textId="77777777" w:rsidR="00D82574" w:rsidRDefault="000408BB">
      <w:pPr>
        <w:widowControl/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14:paraId="75236449" w14:textId="0B3F4751" w:rsidR="00B7475B" w:rsidRDefault="00D8257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 w:rsidRPr="00D82574">
        <w:t xml:space="preserve"> </w:t>
      </w:r>
      <w:r>
        <w:t>我国已转向高质量发展阶段，制度优势显著，治理效能提升，经济长期向好，物质基础雄厚，人力资源丰富，市场空间广阔，发展韧性强劲，社会大局稳定，继续发展具有多方面优势和条件。</w:t>
      </w:r>
      <w:r>
        <w:rPr>
          <w:rFonts w:hint="eastAsia"/>
        </w:rPr>
        <w:t>我们</w:t>
      </w:r>
      <w:r>
        <w:t>必须统筹中华民族伟大复兴战略全局和世界百年未有之大变局，深刻认识我国社会主要矛盾变化带来的新特征新要求，深刻认识错综复杂的国际环境带来的新矛盾新挑战，增强机遇意识和风险意识，立足社会主义初级阶段基本国情，保持战略定力，办好自己的事，认识和把握发展规律，发扬斗争精神，增强斗争本领，树立底线思维，准确识变、科学应变、主动求变，善于在危机中育先机、于变局中开新局，抓住机遇，应对挑战，趋利避害，奋勇前进。</w:t>
      </w:r>
    </w:p>
    <w:p w14:paraId="1063EF7E" w14:textId="77777777" w:rsidR="00B7475B" w:rsidRDefault="00B7475B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B747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75B"/>
    <w:rsid w:val="000408BB"/>
    <w:rsid w:val="00B7475B"/>
    <w:rsid w:val="00D8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0D3722"/>
  <w15:docId w15:val="{9FC9EAE2-2071-4DF5-91E7-23CC17E2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许 一昊</cp:lastModifiedBy>
  <cp:revision>2</cp:revision>
  <dcterms:created xsi:type="dcterms:W3CDTF">2021-03-27T04:21:00Z</dcterms:created>
  <dcterms:modified xsi:type="dcterms:W3CDTF">2021-03-27T04:21:00Z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