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学院： 物信学院  年级与专业： 18电信  姓名：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俞杰</w:t>
      </w:r>
    </w:p>
    <w:p>
      <w:pPr>
        <w:ind w:firstLine="320" w:firstLineChars="1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numPr>
          <w:numId w:val="0"/>
        </w:num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答：我想对十四年的共产党说，加强广纳百川，方成大江大河;奔流入海,方能循环永续。只有做好"双循环”，才能为中国提供更大的发展空间和更强的发展动力。因此，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val="en-US" w:eastAsia="zh-CN"/>
        </w:rPr>
        <w:t>形成强大国内市场，构建新发展格局不是闭门造车，也不是弱化国际市场的单循环，而是在“国内国际双循环相互促进”中更好地推动“国内大循环”。从世界大势看，经济全球化仍是历史潮流，“你中有我、 我中有你”的融合发展是长期趋势。从国内发展看，对外开放始终是推动我国经济增长的重要动力，对于倒逼改革创新，提升核心技术水平，让国内市场真正强大起来至关重要。我们要始终站在历</w:t>
      </w:r>
    </w:p>
    <w:p>
      <w:pPr>
        <w:numPr>
          <w:numId w:val="0"/>
        </w:num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史正确的一边，依托我国大市场优势，推动建设开放型世界经济,构建人类命运共同体。秉纲而目自张，执本而末自从。面对复杂形势和繁重任务,面对机遇与挑战新的发展变化，我们要深入贯彻全会关于“当前和今后一个时期，我国发展仍然处于重要战略机遇期”的重要判断，保持战略定力，有信心、有底气，守正出奇、趋利避害。在党中央坚强领导下，一步一个脚印，通过构建新发展格局，跑好中华民族伟大复兴接力赛，谱写经济持续快速发展和社会长期稳定“两大奇迹”的新篇章。</w:t>
      </w:r>
    </w:p>
    <w:p>
      <w:pPr>
        <w:numPr>
          <w:numId w:val="0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49945"/>
    <w:multiLevelType w:val="singleLevel"/>
    <w:tmpl w:val="8F7499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12FD3"/>
    <w:rsid w:val="5C9C76D4"/>
    <w:rsid w:val="5DFF4B7E"/>
    <w:rsid w:val="60DF4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13</TotalTime>
  <ScaleCrop>false</ScaleCrop>
  <LinksUpToDate>false</LinksUpToDate>
  <CharactersWithSpaces>135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露白</cp:lastModifiedBy>
  <dcterms:modified xsi:type="dcterms:W3CDTF">2021-03-27T04:07:41Z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