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外国语学院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年级与专业：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hAnsi="仿宋_GB2312" w:cs="仿宋_GB2312"/>
          <w:sz w:val="32"/>
          <w:szCs w:val="32"/>
          <w:lang w:val="en-US" w:eastAsia="zh-CN"/>
        </w:rPr>
        <w:t>商务英语专业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姓名：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武映君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千秋伟业，百年风华，“十四五”经济社会发展主要目标和2035年远景目标已经规划建立，党带领中华儿女昂首挺胸阔步迈向更加美好的未来，更要笃定信念、滋养初心，坚定如磐的革命理想信念，种下一心为民的思想“根芽”，继续发扬为民服务孺子牛、创新发展拓荒牛、艰苦奋斗老黄牛的精神，为完成党的历史使命而不懈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74A66"/>
    <w:rsid w:val="5F4C0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266</Characters>
  <Paragraphs>10</Paragraphs>
  <TotalTime>3</TotalTime>
  <ScaleCrop>false</ScaleCrop>
  <LinksUpToDate>false</LinksUpToDate>
  <CharactersWithSpaces>281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</cp:lastModifiedBy>
  <dcterms:modified xsi:type="dcterms:W3CDTF">2021-03-26T13:09:49Z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E596CAAF81FA464398A49882D5AC3103</vt:lpwstr>
  </property>
</Properties>
</file>