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  <w:bookmarkStart w:id="0" w:name="_GoBack"/>
      <w:bookmarkEnd w:id="0"/>
      <w:r>
        <w:rPr>
          <w:rFonts w:hint="eastAsia"/>
        </w:rPr>
        <w:t>对于如今的党员来说，李汉俊的"初心”最值得大家学习。1840年之后，中国陷入半殖民地半封建社会，面对众多不平等条约，中国由于国力孱弱而备受欺侮。当时，中国人最需要的就是振兴国力。是第- -代中国共产党人在“黑暗”中找到了“火种”，选择了马克思主义，选择了社会主义道路。没有当时一代英烈的选择,就没有今天中华民族的振兴，更没有如今中国人面对全世界挺直的腰板。如今的党员，在日常的冗繁工作生活中，有时会忘.了这份“初心”， 因为一己得失抱怨、发牢骚。只要重翻党史就会知道，英烈们在建党之初什么都没有，连命都可以不要，才换来了如今的美好生活。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2021-03-26T19:03:23Z</dcterms:created>
  <dc:creator>林雅琪的iPad</dc:creator>
  <cp:lastModifiedBy>林雅琪的iPad</cp:lastModifiedBy>
  <dcterms:modified xsi:type="dcterms:W3CDTF">2021-03-26T19:04:34Z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2052-11.4.0</vt:lpwstr>
  </property>
</Properties>
</file>