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ascii="Calibri" w:hAnsi="Calibri" w:cs="Calibri"/>
          <w:i w:val="0"/>
          <w:caps w:val="0"/>
          <w:color w:val="000000"/>
          <w:spacing w:val="0"/>
          <w:sz w:val="21"/>
          <w:szCs w:val="21"/>
        </w:rPr>
      </w:pPr>
      <w:r>
        <w:rPr>
          <w:rFonts w:ascii="仿宋_GB2312" w:hAnsi="Calibri" w:eastAsia="仿宋_GB2312" w:cs="仿宋_GB2312"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第</w:t>
      </w:r>
      <w:r>
        <w:rPr>
          <w:rFonts w:hint="default" w:ascii="仿宋_GB2312" w:hAnsi="Calibri" w:eastAsia="仿宋_GB2312" w:cs="仿宋_GB2312"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65期党的发展对象培训班第一次小组讨论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3520"/>
        <w:jc w:val="both"/>
        <w:rPr>
          <w:rFonts w:hint="default" w:ascii="Calibri" w:hAnsi="Calibri" w:cs="Calibri"/>
          <w:i w:val="0"/>
          <w:caps w:val="0"/>
          <w:color w:val="000000"/>
          <w:spacing w:val="0"/>
          <w:sz w:val="21"/>
          <w:szCs w:val="21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仿宋_GB2312" w:hAnsi="Calibri" w:eastAsia="仿宋_GB2312" w:cs="仿宋_GB2312"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</w:pPr>
      <w:r>
        <w:rPr>
          <w:rFonts w:hint="default" w:ascii="仿宋_GB2312" w:hAnsi="Calibri" w:eastAsia="仿宋_GB2312" w:cs="仿宋_GB2312"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学院：</w:t>
      </w:r>
      <w:r>
        <w:rPr>
          <w:rFonts w:hint="eastAsia" w:ascii="仿宋_GB2312" w:hAnsi="Calibri" w:eastAsia="仿宋_GB2312" w:cs="仿宋_GB2312"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研究生院</w:t>
      </w:r>
      <w:r>
        <w:rPr>
          <w:rFonts w:hint="default" w:ascii="仿宋_GB2312" w:hAnsi="Calibri" w:eastAsia="仿宋_GB2312" w:cs="仿宋_GB2312"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 xml:space="preserve"> 年级与专业：</w:t>
      </w:r>
      <w:r>
        <w:rPr>
          <w:rFonts w:hint="eastAsia" w:ascii="仿宋_GB2312" w:hAnsi="Calibri" w:eastAsia="仿宋_GB2312" w:cs="仿宋_GB2312"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19书法</w:t>
      </w:r>
      <w:r>
        <w:rPr>
          <w:rFonts w:hint="default" w:ascii="仿宋_GB2312" w:hAnsi="Calibri" w:eastAsia="仿宋_GB2312" w:cs="仿宋_GB2312"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 xml:space="preserve"> 姓名：</w:t>
      </w:r>
      <w:r>
        <w:rPr>
          <w:rFonts w:hint="eastAsia" w:ascii="仿宋_GB2312" w:hAnsi="Calibri" w:eastAsia="仿宋_GB2312" w:cs="仿宋_GB2312"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刘耀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210" w:beforeAutospacing="0" w:after="420" w:afterAutospacing="0" w:line="240" w:lineRule="auto"/>
        <w:ind w:left="0" w:right="420" w:firstLine="0"/>
        <w:rPr>
          <w:rFonts w:hint="eastAsia" w:ascii="黑体" w:hAnsi="黑体" w:eastAsia="黑体" w:cs="黑体"/>
          <w:i w:val="0"/>
          <w:caps w:val="0"/>
          <w:color w:val="666666"/>
          <w:spacing w:val="0"/>
          <w:sz w:val="24"/>
          <w:szCs w:val="24"/>
          <w:bdr w:val="none" w:color="auto" w:sz="0" w:space="0"/>
          <w:shd w:val="clear" w:fill="FFFFFF"/>
          <w:lang w:eastAsia="zh-CN"/>
        </w:rPr>
      </w:pPr>
      <w:r>
        <w:rPr>
          <w:rFonts w:hint="eastAsia" w:ascii="黑体" w:hAnsi="黑体" w:eastAsia="黑体" w:cs="黑体"/>
          <w:i w:val="0"/>
          <w:caps w:val="0"/>
          <w:color w:val="666666"/>
          <w:spacing w:val="0"/>
          <w:sz w:val="24"/>
          <w:szCs w:val="24"/>
          <w:bdr w:val="none" w:color="auto" w:sz="0" w:space="0"/>
          <w:shd w:val="clear" w:fill="FFFFFF"/>
        </w:rPr>
        <w:t>今年是建党一百周年，回顾历史，我党历史上有许多重大事件，如南昌起义、八七会议、十一届三中全会等。请选择其中一个历史事件简要介绍，并谈谈你对其意义的认识</w:t>
      </w:r>
      <w:r>
        <w:rPr>
          <w:rFonts w:hint="eastAsia" w:ascii="黑体" w:hAnsi="黑体" w:eastAsia="黑体" w:cs="黑体"/>
          <w:i w:val="0"/>
          <w:caps w:val="0"/>
          <w:color w:val="666666"/>
          <w:spacing w:val="0"/>
          <w:sz w:val="24"/>
          <w:szCs w:val="24"/>
          <w:bdr w:val="none" w:color="auto" w:sz="0" w:space="0"/>
          <w:shd w:val="clear" w:fill="FFFFFF"/>
          <w:lang w:eastAsia="zh-CN"/>
        </w:rPr>
        <w:t>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210" w:beforeAutospacing="0" w:after="420" w:afterAutospacing="0" w:line="240" w:lineRule="auto"/>
        <w:ind w:left="0" w:right="420" w:firstLine="0"/>
        <w:rPr>
          <w:rFonts w:hint="eastAsia" w:ascii="黑体" w:hAnsi="黑体" w:eastAsia="黑体" w:cs="黑体"/>
          <w:i w:val="0"/>
          <w:caps w:val="0"/>
          <w:color w:val="666666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caps w:val="0"/>
          <w:color w:val="666666"/>
          <w:spacing w:val="0"/>
          <w:sz w:val="24"/>
          <w:szCs w:val="24"/>
          <w:bdr w:val="none" w:color="auto" w:sz="0" w:space="0"/>
          <w:shd w:val="clear" w:fill="FFFFFF"/>
          <w:lang w:val="en-US" w:eastAsia="zh-CN"/>
        </w:rPr>
        <w:t>答：</w:t>
      </w:r>
      <w:r>
        <w:rPr>
          <w:rFonts w:hint="eastAsia" w:ascii="黑体" w:hAnsi="黑体" w:eastAsia="黑体" w:cs="黑体"/>
          <w:i w:val="0"/>
          <w:caps w:val="0"/>
          <w:color w:val="666666"/>
          <w:spacing w:val="0"/>
          <w:sz w:val="24"/>
          <w:szCs w:val="24"/>
          <w:shd w:val="clear" w:fill="FFFFFF"/>
        </w:rPr>
        <w:t>南昌起义，是中国共产党直接领导的带有全局意义的一次武装起义。它打响了武装反抗国民党反动统治的第一枪，宣告了中国共产党把中国革命进行到底的坚定立场，标志着中国共产党独立地创造革命军队和领导革命战争的开始。是创建人民军队的开始。南昌起义，由于客观上敌人力量过于强大，主观指导上缺乏经验，没</w:t>
      </w:r>
      <w:bookmarkStart w:id="0" w:name="_GoBack"/>
      <w:bookmarkEnd w:id="0"/>
      <w:r>
        <w:rPr>
          <w:rFonts w:hint="eastAsia" w:ascii="黑体" w:hAnsi="黑体" w:eastAsia="黑体" w:cs="黑体"/>
          <w:i w:val="0"/>
          <w:caps w:val="0"/>
          <w:color w:val="666666"/>
          <w:spacing w:val="0"/>
          <w:sz w:val="24"/>
          <w:szCs w:val="24"/>
          <w:shd w:val="clear" w:fill="FFFFFF"/>
        </w:rPr>
        <w:t>有和湘、鄂、赣地区的农民运动相结合，开展土地革命战争，而是孤军南下广东，企图打开海口，争取外援，重建革命根据地，再次举行北伐，加之两次分兵，不能集中兵力歼敌，成为敌人各个击破等原因，最后遭至失败。但这次起义的伟大历史功绩是不可磨灭的。它在全党和全国人民面前树立了一面鲜明的武装斗争旗帜，充分地表现了中国共产党和中国人民不畏强敌、前仆后继的革命精神。它以实际行动批评了陈独秀的右倾投降主义，沉重地打击了国民党反动派的嚣张气焰，极大地鼓舞了全国人民的革命斗志。它对创建伟大的人民军队作出了重大的贡献。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仿宋_GB2312" w:hAnsi="Calibri" w:eastAsia="仿宋_GB2312" w:cs="仿宋_GB2312"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光准圆_CNKI">
    <w:panose1 w:val="02000500000000000000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437C34"/>
    <w:rsid w:val="22437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2021-03-25T05:21:00Z</dcterms:created>
  <dc:creator>鸵先生</dc:creator>
  <cp:lastModifiedBy>鸵先生</cp:lastModifiedBy>
  <dcterms:modified xsi:type="dcterms:W3CDTF">2021-03-25T05:30:21Z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