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宋体" w:hAnsi="宋体" w:eastAsia="宋体" w:cs="宋体"/>
          <w:sz w:val="24"/>
          <w:szCs w:val="24"/>
        </w:rPr>
        <w:t>1、党员廉洁自律规范是什么？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第一条 坚持公私分明，先公后私，克己奉公。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第二条 坚持崇廉拒腐，清白做人，干净做事。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第三条 坚持尚俭戒奢，艰苦朴素，勤俭节约。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第四条 坚持吃苦在前，享受在后，甘于奉献。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2、中国共产党党徽和党旗的图案是？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中国共产党党徽为镰刀和锤头组成的图案。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中国共产党党旗为旗面缀有金黄色党徽图案的红旗。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3、中国共产党三大优良作风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一是理论联系实际；二是密切联系群众；三是开展批评和自我批评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4、党员“三会一课”是指：定期参加支部党员大会、支部委员会、党小组会、__________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(按时上党课)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5、党的四项基本原则：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坚持社会主义道路、坚持中国共产党的领导、__________、坚持马克思列宁主义毛泽东思想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(坚持人民民主专政)</w:t>
      </w:r>
      <w:r>
        <w:rPr>
          <w:rFonts w:ascii="宋体" w:hAnsi="宋体" w:eastAsia="宋体" w:cs="宋体"/>
          <w:sz w:val="24"/>
          <w:szCs w:val="24"/>
        </w:rPr>
        <w:br w:type="textWrapping"/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6、党的最高理想和最终目标是：_______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(实现共产主义)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7、______是党的根本路线，具体内容是：一切为了群众、一切依靠群众，从群众中来，到群众中去。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群众路线）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8、党风问题、党同人民群众联系问题是关系党生死存亡的问题（√）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9、科技是引领发展的第一动力，是建设现代化经济体系的战略支撑。（X）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（创新是引领发展的第一动力）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10、建设经济强国是中华民族伟大复兴的基础工程（X）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（建设教育强国是中华民族伟大复兴的基础工程）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A3AAE"/>
    <w:rsid w:val="34932BBA"/>
    <w:rsid w:val="573A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2020-12-27T13:20:00Z</dcterms:created>
  <dc:creator>Administrator</dc:creator>
  <cp:lastModifiedBy>Administrator</cp:lastModifiedBy>
  <dcterms:modified xsi:type="dcterms:W3CDTF">2020-12-27T13:21:55Z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