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bookmarkEnd w:id="0"/>
      <w:r>
        <w:rPr>
          <w:rFonts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第63期党的发展对象培训班第二次小组讨论</w:t>
      </w:r>
    </w:p>
    <w:p>
      <w:pPr>
        <w:pStyle w:val="2"/>
        <w:widowControl/>
        <w:spacing w:beforeAutospacing="0" w:after="0" w:afterAutospacing="0" w:line="324" w:lineRule="atLeast"/>
        <w:ind w:left="0" w:right="0" w:firstLine="264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pStyle w:val="2"/>
        <w:widowControl/>
        <w:spacing w:beforeAutospacing="0" w:after="0" w:afterAutospacing="0" w:line="324" w:lineRule="atLeast"/>
        <w:ind w:left="225" w:righ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</w:rPr>
        <w:t>学院：美术与设计学院    年级与专业：19视觉传达设计        姓名：</w:t>
      </w: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何静</w:t>
      </w:r>
    </w:p>
    <w:p>
      <w:pPr>
        <w:pStyle w:val="2"/>
        <w:widowControl/>
        <w:spacing w:beforeAutospacing="0" w:after="0" w:afterAutospacing="0" w:line="324" w:lineRule="atLeast"/>
        <w:ind w:left="0" w:right="0" w:firstLine="24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如果你被发展为中共党员，你将如何在大学生群体中发挥党员的先锋模范作用？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答：1.增强自身修养的自觉性和责任感。加强共产党员的党性修养，始终保持共产党人的先进性和纯洁性，为人民服务，克服当前存在的不利于搞好党性修养的模糊认识。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   2.</w:t>
      </w: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努力成为终身学习的模范。努力学习，树立正确的人生观，提高理论水平，不断学习。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  3.发挥表率作用。结合自身实际向各位名人同志们学习，坚持全心全意为人民服务的宗旨。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F2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2020-11-08T05:03:00Z</dcterms:created>
  <dc:creator>小何想静静</dc:creator>
  <cp:lastModifiedBy>nanshizuka</cp:lastModifiedBy>
  <dcterms:modified xsi:type="dcterms:W3CDTF">2020-11-08T18:33:35Z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