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学院：研究生院  年级与专业：19级书法  姓名：彭丽玲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如果我被发展为中共党员，我将在以下几个方面发挥自己在大学生群体中的先锋模范作用。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第一、在学习上：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我应该以更高的标准来要求自己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学好专业知识和各项基本技能的基础上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积极参加学术活动，广泛接触各家学术观点，丰富自己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的知识储备，作为一名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大学生党员要在学术研究方面走在前列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开拓认识视野。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并且利用课余时间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尽自己最大努力去关心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和帮助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在学习上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遇到困难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的同学，在学校、老师和同学之间起到桥梁和纽带的作用，向党组织、任课老师及时反馈同学们在学习和生活中的问题和意见，做好沟通工作。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第二、在政治思想上：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作为一名大学生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党员要有扎实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的党的理论知识作为基础，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这是党员发挥先锋模范作用的自我保证。 首先，要认真学习党的理论基础，认真研读学术著作，努力将感性认识上升为理性认识进一步提升自己的认知水平。基础理论有助于加强党性锻炼，端正入党动机。通过党性修养以坚强理想信念，经受各种风险考验，为在各项工作中发挥先锋模范作用奠定良好的思想基础。其次，要坚持以自学为主，自觉阅读相关文件资料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时刻注意学习党发表的各种文件指示，与党保持高度的一致，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 xml:space="preserve">加强政治敏锐性，并开展讨论和交流心得，注重理论联系实际，提高做群众思想的能力。大学生党员要将自身的党员身份和学生身份较好的结合起来，树立科学态度、弘扬科学精神。不断加强对党的基础理论的学习，努力拥有一个扎实的理论基础。只有拥有这个基础才有可能成优秀的学生党员。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第三、在生活上：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时时关心同学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注意观察身边同学在生活中遇到的问题，并想办法帮助解决，如外省学生在本地亲朋好友少，作为学生党员应多与他们谈心交流，并组织一些活动来派遣他们的思乡之情，给同学们带来温暖，作为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学生党员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应该遵守纪律，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帮助同学为模范。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多参与学校活动，做好带头作用，在生活细节上严格按照优秀党员的标准来要求自己，将好的习惯潜移默化的影响身边的同学。作为一名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学生党员在密切联系同学的时候还应该注意下情上传。在大学，教师授课完毕后一般是不坐班的。这对于学生与教师及时沟通是不利的。对此，大学生党员承担了汇总同学困难与问题，主动与教师联系帮助解答的工作。另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作为一名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学生党员还要注意上情下达，做老师的助手。大学生党员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应该充分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利用在班上和学生社区的优势及时传达学校要求，实现了信息第一时间送达。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总而言之，要在大学生群体中发挥党员的先锋作用首要的还是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应该具有更高的素质。应该以身作则、身体力行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做好模范带头作用。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70A1BAE"/>
    <w:rsid w:val="46FC2B97"/>
    <w:rsid w:val="4E9136E9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WPS_1529227594</cp:lastModifiedBy>
  <dcterms:modified xsi:type="dcterms:W3CDTF">2020-11-07T17:16:37Z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