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仿宋_GB2312"/>
          <w:sz w:val="30"/>
          <w:szCs w:val="30"/>
          <w:lang w:val="en-US" w:eastAsia="zh-CN"/>
        </w:rPr>
      </w:pPr>
      <w:r>
        <w:rPr>
          <w:rFonts w:hint="eastAsia" w:ascii="宋体" w:hAnsi="宋体" w:eastAsia="宋体" w:cs="仿宋_GB2312"/>
          <w:sz w:val="30"/>
          <w:szCs w:val="30"/>
          <w:lang w:val="en-US" w:eastAsia="zh-CN"/>
        </w:rPr>
        <w:t>学院</w:t>
      </w:r>
      <w:r>
        <w:rPr>
          <w:rFonts w:hint="default" w:ascii="宋体" w:hAnsi="宋体" w:eastAsia="宋体" w:cs="仿宋_GB2312"/>
          <w:sz w:val="30"/>
          <w:szCs w:val="30"/>
          <w:lang w:val="en-US" w:eastAsia="zh-CN"/>
        </w:rPr>
        <w:t>:</w:t>
      </w:r>
      <w:r>
        <w:rPr>
          <w:rFonts w:hint="eastAsia" w:ascii="宋体" w:hAnsi="宋体" w:eastAsia="宋体" w:cs="仿宋_GB2312"/>
          <w:sz w:val="30"/>
          <w:szCs w:val="30"/>
          <w:lang w:val="en-US" w:eastAsia="zh-CN"/>
        </w:rPr>
        <w:t>文学与传播学院   年级与专业</w:t>
      </w:r>
      <w:r>
        <w:rPr>
          <w:rFonts w:hint="default" w:ascii="宋体" w:hAnsi="宋体" w:eastAsia="宋体" w:cs="仿宋_GB2312"/>
          <w:sz w:val="30"/>
          <w:szCs w:val="30"/>
          <w:lang w:val="en-US" w:eastAsia="zh-CN"/>
        </w:rPr>
        <w:t>:18</w:t>
      </w:r>
      <w:r>
        <w:rPr>
          <w:rFonts w:hint="eastAsia" w:ascii="宋体" w:hAnsi="宋体" w:eastAsia="宋体" w:cs="仿宋_GB2312"/>
          <w:sz w:val="30"/>
          <w:szCs w:val="30"/>
          <w:lang w:val="en-US" w:eastAsia="zh-CN"/>
        </w:rPr>
        <w:t>历史   姓名</w:t>
      </w:r>
      <w:r>
        <w:rPr>
          <w:rFonts w:hint="default" w:ascii="宋体" w:hAnsi="宋体" w:eastAsia="宋体" w:cs="仿宋_GB2312"/>
          <w:sz w:val="30"/>
          <w:szCs w:val="30"/>
          <w:lang w:val="en-US" w:eastAsia="zh-CN"/>
        </w:rPr>
        <w:t>:</w:t>
      </w:r>
      <w:r>
        <w:rPr>
          <w:rFonts w:hint="eastAsia" w:ascii="宋体" w:hAnsi="宋体" w:eastAsia="宋体" w:cs="仿宋_GB2312"/>
          <w:sz w:val="30"/>
          <w:szCs w:val="30"/>
          <w:lang w:val="en-US" w:eastAsia="zh-CN"/>
        </w:rPr>
        <w:t>王佳玉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一、加强理论学习，提高政治素养，在政治上带动同学进步。要保持和发挥一名大学生党员的先锋模范作用，首先应该认真学习模范执行党的基本理论、基本路线、基本纲领和各项方针政策，党的先进性是要通过党员的先锋模范作用来体现的。大学生党员既要积极地学习，不断地扩大自己的思想政治知识，还要认真地贯彻和模范执行党的路线、方针、政策，积极向同学宣传党的路线、方针、政策，在政治上带动同学共同进步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二、搞好文化学习，加强能力锻炼，在学习上与同学共同进步。全心全意为人民服务是党员的宗旨，作为一名新时代的大学生党员，不但要有全心全意为人民服务的思想，还要有要全心全意为人民服务的本领。大学生党员履行全心全意为人民服务宗旨首要的一条，就是要勤奋学习，完成好自己的学习任务，培养多方面的能力，掌握过硬的为人民服务本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三、注意生活细节，行为举止文明，在日常生活中成为同学的榜样。大学生党员的模范作用在日常生活和管理方面也要起好带头作用。要带头树立良好的生活作风，还必须从身边的小事做起，从个人的生活作风做起，没有良好的生活作风就不能成就大事业，没有良好的生活作风就会腐化个人的思想，没有良好的生活作风就搞不好学习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19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574</Words>
  <Characters>577</Characters>
  <Paragraphs>17</Paragraphs>
  <TotalTime>6</TotalTime>
  <ScaleCrop>false</ScaleCrop>
  <LinksUpToDate>false</LinksUpToDate>
  <CharactersWithSpaces>583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木心</cp:lastModifiedBy>
  <dcterms:modified xsi:type="dcterms:W3CDTF">2020-11-07T13:11:16Z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