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第63期党的发展对象培训班第二次小组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数计学院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年级与专业： 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cs="仿宋_GB2312" w:hAnsi="仿宋_GB2312" w:hint="eastAsia"/>
          <w:sz w:val="32"/>
          <w:szCs w:val="32"/>
          <w:lang w:val="en-US" w:eastAsia="zh-CN"/>
        </w:rPr>
        <w:t>信管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姓名：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吴凡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答：1.在政治素质上发挥先锋模范作用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支持一切符合马克思主义立场的事情，毫不留情地反对一切违背马克思主义立场的事情。其次要坚定共产主义信仰，树立共产主义的远大理想和为共产主义事业奋斗终身的决心。结合实际，借助各种生动活泼的活动形式，在同学中发挥其在政治上的先锋模范作用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2.在学习上发挥先锋模范作用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作为高校的学生，其首要任务是搞好学习，只有学好了文化知识，才能更好地全心全意为人民服务。这就要求大学生党员不仅要有明确的学习目的、端正的学习态度，还要有良好的学习方法，较高的学习效率:不仅要上课认真听讲，按时完成好老师布置的各项学习任务，还要在课外主动学习，探索一些自己感兴趣的学习领域;不仅要认真学习好本专业的知识，还要学习好相关专业的知识，以拓展知识的宽度和深度，完善知识结构:不仅要能够吸收已学的文化知识，还要勤于钻研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善于思考。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3.在工作上发挥先锋模范作用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应</w:t>
      </w:r>
      <w:r>
        <w:rPr>
          <w:rFonts w:ascii="仿宋_GB2312" w:cs="仿宋_GB2312" w:eastAsia="仿宋_GB2312" w:hAnsi="仿宋_GB2312" w:hint="eastAsia"/>
          <w:sz w:val="32"/>
          <w:szCs w:val="32"/>
        </w:rPr>
        <w:t>该利用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在大学</w:t>
      </w:r>
      <w:r>
        <w:rPr>
          <w:rFonts w:ascii="仿宋_GB2312" w:cs="仿宋_GB2312" w:eastAsia="仿宋_GB2312" w:hAnsi="仿宋_GB2312" w:hint="eastAsia"/>
          <w:sz w:val="32"/>
          <w:szCs w:val="32"/>
        </w:rPr>
        <w:t>锻炼的机会，努力培养自己的工作、组织和与同学们和睦相处的能力，从而本身的综合素质。应本着为同学服务，对组织负责的原则，在实践中培养自己的交际能力和应变能力，为以后在工作岗位更好地施展自己的才华奠定坚实的基础。同时大学生党员应该在工作上应积极主动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4.大学生党员在生活上发挥先锋模范作用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大学四年，对于大学生来说，是非常宝贵而美好。在这四年中，同学们朝夕相处，所以，尤其应重视在生活中发挥其先锋模范作用。带头树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做好</w:t>
      </w:r>
      <w:r>
        <w:rPr>
          <w:rFonts w:ascii="仿宋_GB2312" w:cs="仿宋_GB2312" w:eastAsia="仿宋_GB2312" w:hAnsi="仿宋_GB2312" w:hint="eastAsia"/>
          <w:sz w:val="32"/>
          <w:szCs w:val="32"/>
        </w:rPr>
        <w:t>立良好的生活作风还必须从身边的小事做起，从个人的生活作风做起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694</Words>
  <Pages>1</Pages>
  <Characters>700</Characters>
  <Application>WPS Office</Application>
  <DocSecurity>0</DocSecurity>
  <Paragraphs>21</Paragraphs>
  <ScaleCrop>false</ScaleCrop>
  <LinksUpToDate>false</LinksUpToDate>
  <CharactersWithSpaces>707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GLK-AL00</lastModifiedBy>
  <dcterms:modified xsi:type="dcterms:W3CDTF">2020-11-01T09:38:22Z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