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w:t>
      </w:r>
      <w:r>
        <w:rPr>
          <w:rFonts w:hint="eastAsia" w:ascii="仿宋_GB2312" w:hAnsi="仿宋_GB2312" w:cs="仿宋_GB2312"/>
          <w:sz w:val="32"/>
          <w:szCs w:val="32"/>
          <w:lang w:val="en-US" w:eastAsia="zh-CN"/>
        </w:rPr>
        <w:t>：资源与环境科学学院</w:t>
      </w:r>
      <w:r>
        <w:rPr>
          <w:rFonts w:hint="eastAsia" w:ascii="仿宋_GB2312" w:hAnsi="仿宋_GB2312" w:eastAsia="仿宋_GB2312" w:cs="仿宋_GB2312"/>
          <w:sz w:val="32"/>
          <w:szCs w:val="32"/>
          <w:lang w:val="en-US" w:eastAsia="zh-CN"/>
        </w:rPr>
        <w:t xml:space="preserve">    年级与专业：</w:t>
      </w:r>
      <w:r>
        <w:rPr>
          <w:rFonts w:hint="default" w:hAnsi="仿宋_GB2312" w:eastAsia="仿宋_GB2312" w:cs="仿宋_GB2312"/>
          <w:sz w:val="32"/>
          <w:szCs w:val="32"/>
          <w:lang w:val="en-US" w:eastAsia="zh-CN"/>
        </w:rPr>
        <w:t>18</w:t>
      </w:r>
      <w:r>
        <w:rPr>
          <w:rFonts w:hint="eastAsia" w:hAnsi="仿宋_GB2312" w:cs="仿宋_GB2312"/>
          <w:sz w:val="32"/>
          <w:szCs w:val="32"/>
          <w:lang w:val="en-US" w:eastAsia="zh-CN"/>
        </w:rPr>
        <w:t>地理科学</w:t>
      </w:r>
      <w:r>
        <w:rPr>
          <w:rFonts w:hint="eastAsia" w:ascii="仿宋_GB2312" w:hAnsi="仿宋_GB2312" w:eastAsia="仿宋_GB2312" w:cs="仿宋_GB2312"/>
          <w:sz w:val="32"/>
          <w:szCs w:val="32"/>
          <w:lang w:val="en-US" w:eastAsia="zh-CN"/>
        </w:rPr>
        <w:t xml:space="preserve">                          </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w:t>
      </w:r>
      <w:r>
        <w:rPr>
          <w:rFonts w:hint="eastAsia" w:ascii="仿宋_GB2312" w:hAnsi="仿宋_GB2312" w:cs="仿宋_GB2312"/>
          <w:sz w:val="32"/>
          <w:szCs w:val="32"/>
          <w:lang w:val="en-US" w:eastAsia="zh-CN"/>
        </w:rPr>
        <w:t>洪晓晴</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1、【单选】中国共产党的根本宗旨是（D）。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A.代表中国先进生产力的发展要求  B.实现共产主义</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C.解放全人类，实现人的全面发展  D.全心全意为人民服务</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2、【单选】党的（A）正式宣告了中国共产党的成立。</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A.一大           B.二大          C.三大</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解析：1921年7月23日—31日，在上海召开了中国共产党的第一次全国代表大会。党的一大宣告了中国共产党的正式成立。</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3、【多选】中国共产党的性质是（ABCD）。</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A. 中国工人阶级的先锋队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B. 中国人民和中华民族的先锋队</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C. 中国特色社会主义事业的领导核心</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D. 代表中国先进生产力的发展要求，代表中国先进文化的前进方向，代表中国最广大人民的根本利益</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4、【多选】中国共产党领导人民发展社会主义市场经济应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bookmarkStart w:id="0" w:name="_GoBack"/>
      <w:bookmarkEnd w:id="0"/>
      <w:r>
        <w:rPr>
          <w:rFonts w:hint="eastAsia" w:asciiTheme="minorEastAsia" w:hAnsiTheme="minorEastAsia" w:eastAsiaTheme="minorEastAsia" w:cstheme="minorEastAsia"/>
          <w:sz w:val="32"/>
          <w:szCs w:val="32"/>
          <w:lang w:val="en-US" w:eastAsia="zh-CN"/>
        </w:rPr>
        <w:t>（ABCD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A.发挥市场在资源配置中的决定性作用，更好发挥政府作用，建立完善的宏观调控体系</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B.统筹城乡发展、区域发展、经济社会发展、人与自然和谐发展、国内发展和对外开放，调整经济结构，转变经济发展方式，推进供给侧结构性改革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C.毫不动摇地鼓励、支持、引导非公有制经济发展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D.毫不动摇地巩固和发展私有制经济</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5、【判断】全心全意为人民服务是我们党执政兴国的第一要务。（X）</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解析：党执政兴国的第一要务是发展。</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6、【判断】党章指出，社会主义建设要实行依法治国和以德治国相结合。（√）</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7、【判断】坚持人民人民利益高于一切是被实践证明了的关于中国革命和建设的正确的理论原则和经验总结。（X）解析：毛泽东思想是被实践证明了的关于中国革命和建设的正确的理论原则和经验总结。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8、【简答】党员的权利是什么？</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（1）参加党的有关会议，阅读党的有关文件，接受党的教育和培训。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（2）在党的会议上和党报党刊上，参加关于党的政策问题的讨论。</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（3）对党的工作提出建议和倡议。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（4）在党的会议上有根据地批评党的任何组织和任何党员，向党负责的揭发、检举党的任何组织和任何党员违法乱纪的事实，要求处分违法乱纪的党员，要求罢免或撤换不称职的干部。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（5）行使表决权、选举权，有被选举权。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（6）在党组织讨论决定对党员的党纪处分或作出鉴定时，本人有权参加和进行申辩，其他党员可以为他作证和辩护。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（7）对党的决议和政策如有不同意见，在坚决执行的前提下，可以声明保留，并且可以把自己的意见向党的上级组织直至中央提出。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（8）向党的上级组织直至中央提出请求、申诉和控告，并要求有关组织给以负责的答复。 </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党的任何一级组织直至中央都无权剥夺党员的上述权利。</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9、【简答】党的基本路线是什么?</w:t>
      </w:r>
    </w:p>
    <w:p>
      <w:pPr>
        <w:ind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党的基本路线，党在社会主义初级阶段的基本路线是：领导和团结全国各族人民，以经济建设为中心，坚持四项基本原则，坚持改革开放，自力更生，艰苦创业，为把我国建设成为富强民主文明和谐的社会主义现代化国家而奋斗。</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10、【简答】入党誓词是什么？</w:t>
      </w:r>
    </w:p>
    <w:p>
      <w:pPr>
        <w:widowControl w:val="0"/>
        <w:numPr>
          <w:ilvl w:val="0"/>
          <w:numId w:val="0"/>
        </w:numPr>
        <w:jc w:val="both"/>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15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3">
    <w:name w:val="Default Paragraph Font"/>
    <w:qFormat/>
    <w:uiPriority w:val="0"/>
  </w:style>
  <w:style w:type="table" w:default="1" w:styleId="4">
    <w:name w:val="Normal Table"/>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1278</Words>
  <Characters>1308</Characters>
  <Paragraphs>60</Paragraphs>
  <TotalTime>0</TotalTime>
  <ScaleCrop>false</ScaleCrop>
  <LinksUpToDate>false</LinksUpToDate>
  <CharactersWithSpaces>1458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Administrator</cp:lastModifiedBy>
  <dcterms:modified xsi:type="dcterms:W3CDTF">2020-10-28T20:13:01Z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