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2" w:lineRule="auto"/>
        <w:ind w:left="0" w:right="0"/>
        <w:jc w:val="center"/>
      </w:pPr>
      <w:r>
        <w:rPr>
          <w:rFonts w:hint="eastAsia" w:ascii="宋体" w:hAnsi="宋体" w:eastAsia="宋体" w:cs="宋体"/>
          <w:i w:val="0"/>
          <w:color w:val="000000"/>
          <w:spacing w:val="0"/>
          <w:sz w:val="48"/>
          <w:szCs w:val="48"/>
          <w:vertAlign w:val="baseline"/>
        </w:rPr>
        <w:t>主题：文化产业（动漫）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2" w:lineRule="auto"/>
        <w:ind w:left="0" w:right="0"/>
        <w:jc w:val="both"/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  <w:lang w:eastAsia="zh-CN"/>
        </w:rPr>
      </w:pPr>
      <w:r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</w:rPr>
        <w:t>原因1</w:t>
      </w:r>
      <w:r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  <w:lang w:eastAsia="zh-CN"/>
        </w:rPr>
        <w:t>：</w:t>
      </w:r>
      <w:r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</w:rPr>
        <w:t>由于此次疫情的爆发造成许多的服务业陷入困境</w:t>
      </w:r>
      <w:r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  <w:lang w:eastAsia="zh-CN"/>
        </w:rPr>
        <w:t>，动漫产业的周边实体店无法开门，而同时还要负担着各种各样的支出，导致很多店铺一时难以运转，即使有的实体店开门，也很少有顾客会愿意在疫情期间出门，去实体店购买。大部分的实体店都在人流量较大的地方经营，而由于疫情的影响，这些地方收到严格的控制和开业要求，因此很多实体店难以开门和营业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2" w:lineRule="auto"/>
        <w:ind w:left="0" w:right="0"/>
        <w:jc w:val="both"/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2" w:lineRule="auto"/>
        <w:ind w:left="0" w:right="0"/>
        <w:jc w:val="both"/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  <w:lang w:eastAsia="zh-CN"/>
        </w:rPr>
      </w:pPr>
      <w:r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</w:rPr>
        <w:t>原因2</w:t>
      </w:r>
      <w:r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  <w:lang w:eastAsia="zh-CN"/>
        </w:rPr>
        <w:t>：</w:t>
      </w:r>
      <w:r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</w:rPr>
        <w:t>许多的漫展由于人流量太大导致无法开展，许多动漫手办无法销售出去，但大部分消费者对于动漫礼品的需求量很大</w:t>
      </w:r>
      <w:r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  <w:lang w:eastAsia="zh-CN"/>
        </w:rPr>
        <w:t>，这就导致了动漫手办滞销，然而市场上又有许多的需求，顾客无法来到漫展上购买，而商家也无法将其卖出。这种被迫性的供求矛盾使得很多动漫产业大受打击。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2" w:lineRule="auto"/>
        <w:ind w:left="0" w:right="0"/>
        <w:jc w:val="both"/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2" w:lineRule="auto"/>
        <w:ind w:left="0" w:right="0"/>
        <w:jc w:val="both"/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  <w:lang w:eastAsia="zh-CN"/>
        </w:rPr>
      </w:pPr>
      <w:r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</w:rPr>
        <w:t>原因3</w:t>
      </w:r>
      <w:r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  <w:lang w:eastAsia="zh-CN"/>
        </w:rPr>
        <w:t>：</w:t>
      </w:r>
      <w:r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</w:rPr>
        <w:t>动漫爱好者大都集中于青少年，购物方式大多进行网购，导致动漫实体店的销量日益递减</w:t>
      </w:r>
      <w:r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  <w:lang w:eastAsia="zh-CN"/>
        </w:rPr>
        <w:t>，而由于此次疫情的影响，更是对实体店的一次巨大冲击，网络购物便利快捷，也不会与过多的人进行接触，更让人放心，因此实体店售卖动漫手办的这条销售渠道已经渐渐被淘汰。而不少实体店更是选择转型，放弃实体销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2" w:lineRule="auto"/>
        <w:ind w:left="0" w:right="0"/>
        <w:jc w:val="both"/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  <w:lang w:eastAsia="zh-CN"/>
        </w:rPr>
      </w:pPr>
    </w:p>
    <w:tbl>
      <w:tblPr>
        <w:tblStyle w:val="4"/>
        <w:tblpPr w:leftFromText="180" w:rightFromText="180" w:vertAnchor="text" w:horzAnchor="page" w:tblpX="1856" w:tblpY="258"/>
        <w:tblOverlap w:val="never"/>
        <w:tblW w:w="8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6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60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hint="default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eastAsia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 xml:space="preserve">  PEST</w:t>
            </w:r>
            <w:r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718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hint="default" w:eastAsia="宋体"/>
                <w:sz w:val="48"/>
                <w:szCs w:val="4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vertAlign w:val="baseline"/>
                <w:lang w:val="en-US" w:eastAsia="zh-CN"/>
              </w:rPr>
              <w:t xml:space="preserve">     P</w:t>
            </w:r>
          </w:p>
          <w:p>
            <w:pPr>
              <w:adjustRightInd w:val="0"/>
              <w:snapToGrid w:val="0"/>
              <w:spacing w:line="360" w:lineRule="auto"/>
              <w:ind w:firstLine="211" w:firstLineChars="100"/>
              <w:jc w:val="both"/>
              <w:rPr>
                <w:rFonts w:hint="default" w:eastAsia="宋体"/>
                <w:sz w:val="48"/>
                <w:szCs w:val="48"/>
                <w:vertAlign w:val="baseline"/>
                <w:lang w:val="en-US" w:eastAsia="zh-CN"/>
              </w:rPr>
            </w:pPr>
            <w:r>
              <w:rPr>
                <w:b/>
                <w:bCs/>
                <w:lang w:val="en-US"/>
              </w:rPr>
              <w:t>政治因素</w:t>
            </w:r>
          </w:p>
        </w:tc>
        <w:tc>
          <w:tcPr>
            <w:tcW w:w="6882" w:type="dxa"/>
            <w:vAlign w:val="center"/>
          </w:tcPr>
          <w:p>
            <w:pPr>
              <w:ind w:firstLine="480" w:firstLineChars="200"/>
              <w:rPr>
                <w:rFonts w:hint="eastAsia" w:cs="宋体"/>
                <w:sz w:val="24"/>
                <w:szCs w:val="24"/>
                <w:lang w:val="en-US"/>
              </w:rPr>
            </w:pP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>中央印发的《动漫周边产业发展“十三五”规划》可看出，动漫产业已经被作为国家软实力提升、中华文化对外输出、提升国际文化影响力的核心产业之一，并且明确要求到2020年动漫周边行业将增加30%，各地方都出台了相关政策，提高了产业渗透率。</w:t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>2019年动漫周边产业成为政策红利的市场，国务院政府报告指出动漫周边行业将会有利于提高民众生活质量。</w:t>
            </w: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hint="default" w:eastAsia="宋体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1718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E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eastAsia="宋体"/>
                <w:sz w:val="48"/>
                <w:szCs w:val="48"/>
                <w:vertAlign w:val="baseline"/>
                <w:lang w:val="en-US" w:eastAsia="zh-CN"/>
              </w:rPr>
            </w:pPr>
            <w:r>
              <w:rPr>
                <w:b/>
                <w:bCs/>
                <w:lang w:val="en-US"/>
              </w:rPr>
              <w:t>经济因素</w:t>
            </w:r>
          </w:p>
        </w:tc>
        <w:tc>
          <w:tcPr>
            <w:tcW w:w="6882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动漫周边行业持续需求火热，资本利好动漫周边领域，行业发展前期向好。</w:t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>下游行业交易规模增长，为动漫周边行业提供新的发展动力。</w:t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>2018年居民人均可支配收入达28228元，同比实际增长6.5%，居民消费水平的提高为动漫周边行业市场需求提供经济基础。据有关部门调查，全球动漫产业产值高达3300亿美元，与动漫游戏相关的动漫衍生品产值超过8000亿美元，中国动漫市场1000亿元产值空间等待开发。</w:t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>未来动漫衍生品行业的市场规模将按照20%-25%的速度增长。2018年我国动漫衍生品行业的市场规模达650亿元，至2020年有望突破1000亿元。</w:t>
            </w:r>
          </w:p>
          <w:p>
            <w:pPr>
              <w:rPr>
                <w:lang w:val="en-US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hint="default" w:eastAsiaTheme="minor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1718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eastAsia="宋体"/>
                <w:b/>
                <w:bCs/>
                <w:sz w:val="48"/>
                <w:szCs w:val="4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48"/>
                <w:szCs w:val="48"/>
                <w:vertAlign w:val="baseline"/>
                <w:lang w:val="en-US" w:eastAsia="zh-CN"/>
              </w:rPr>
              <w:t>S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eastAsia="宋体"/>
                <w:sz w:val="24"/>
                <w:vertAlign w:val="baseline"/>
                <w:lang w:val="en-US" w:eastAsia="zh-CN"/>
              </w:rPr>
            </w:pPr>
            <w:r>
              <w:rPr>
                <w:b/>
                <w:bCs/>
                <w:lang w:val="en-US"/>
              </w:rPr>
              <w:t>社会因素</w:t>
            </w:r>
          </w:p>
        </w:tc>
        <w:tc>
          <w:tcPr>
            <w:tcW w:w="6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480" w:firstLineChars="200"/>
              <w:textAlignment w:val="auto"/>
              <w:rPr>
                <w:rFonts w:hint="eastAsia" w:cs="宋体"/>
                <w:sz w:val="24"/>
                <w:szCs w:val="24"/>
                <w:lang w:val="en-US"/>
              </w:rPr>
            </w:pP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>传统动漫周边行业市场门槛低，缺乏统一行业标准，服务过程没有专业的监督等问题影响行业发展，互联网与动漫周边的结合，缩减中间环节，为用户提供高性价比的服务。</w:t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>现如今，随着生活水平的不断提高，越来越多的90后，00后及各类人群大肆来袭，不管是娱乐还是玩具亦是动漫周边的支出呈现明显的增长，社会消费品零售总额呈持续攀升状态。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eastAsiaTheme="minor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718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eastAsia="宋体"/>
                <w:sz w:val="48"/>
                <w:szCs w:val="4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48"/>
                <w:szCs w:val="48"/>
                <w:vertAlign w:val="baseline"/>
                <w:lang w:val="en-US" w:eastAsia="zh-CN"/>
              </w:rPr>
              <w:t>T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vertAlign w:val="baseline"/>
                <w:lang w:val="en-US" w:eastAsia="zh-CN"/>
              </w:rPr>
              <w:t xml:space="preserve">  </w:t>
            </w:r>
            <w:r>
              <w:rPr>
                <w:b/>
                <w:bCs/>
                <w:color w:val="36363D"/>
                <w:lang w:val="en-US"/>
              </w:rPr>
              <w:t>技术因素</w:t>
            </w:r>
          </w:p>
        </w:tc>
        <w:tc>
          <w:tcPr>
            <w:tcW w:w="6882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科技赋能VR、大数据、云计算、人工智能、5G等逐步从一线城市过渡到2、3、4线城市，实现动漫周边行业科技体验的普及化。</w:t>
            </w:r>
          </w:p>
          <w:p>
            <w:r>
              <w:rPr>
                <w:lang w:val="en-US"/>
              </w:rPr>
              <w:t>动漫周边行业引入ERP（企业资源计划）、OA（办公自动化）、EAP（员工帮助计划）等系统，优化信息化管理施工环节，提高了行业效率。</w:t>
            </w: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hint="default" w:eastAsiaTheme="minorEastAsia"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ind w:left="0" w:firstLineChars="20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3.</w:t>
      </w:r>
      <w:r>
        <w:rPr>
          <w:rFonts w:hint="eastAsia"/>
          <w:sz w:val="32"/>
          <w:szCs w:val="32"/>
          <w:lang w:val="en-US" w:eastAsia="zh-CN"/>
        </w:rPr>
        <w:t>实施方案</w:t>
      </w:r>
    </w:p>
    <w:p>
      <w:pPr>
        <w:ind w:left="0" w:firstLineChars="200"/>
      </w:pPr>
      <w:r>
        <w:rPr>
          <w:rFonts w:hint="default"/>
          <w:sz w:val="32"/>
          <w:szCs w:val="32"/>
          <w:lang w:val="en-US" w:eastAsia="zh-CN"/>
        </w:rPr>
        <w:t>1.我们拥有自己的一个app，提供顾客在app上查看动漫礼品以及相关周边的详细信息，动漫礼品所有的型号、颜色等信息都可以被顾客熟知，此外，我们app里的动漫产品都有相关的视频展示，此外还支持动漫产品360℃无死角自由旋转以及VR展示。有条件的顾客可以通过VR眼镜对app所售的动漫产品进行细节查看，VR展示也即VR线上体验区，里面包含着已经取得版权的动漫礼品的情节视频，没有版权的动漫礼品也可以上线进行售卖，我们将收取一定的代售费用，以情节视频吸引顾客眼球，带动周边产品的销售。</w:t>
      </w:r>
    </w:p>
    <w:p>
      <w:pPr>
        <w:tabs>
          <w:tab w:val="left" w:pos="1600"/>
        </w:tabs>
        <w:ind w:firstLine="640" w:firstLineChars="200"/>
        <w:jc w:val="left"/>
      </w:pPr>
      <w:r>
        <w:rPr>
          <w:rFonts w:hint="default"/>
          <w:sz w:val="32"/>
          <w:szCs w:val="32"/>
          <w:lang w:val="en-US" w:eastAsia="zh-CN"/>
        </w:rPr>
        <w:t>2.在app上进行下单的动漫产品，我们将采用自营物流配送的服务方式，将动漫产品快速的送达到顾客的手中，动漫产品附送动漫的一些周边，有各式各样的精美包装礼品盒供顾客挑选，贺卡内容可指定，重要的是，我们所配送的动漫礼品都会用防撞材料包裹，以免运输过程中出现磕碰情况，最外层是纸盒包装，并且装饰着精美的封皮以及贴纸，纸盒款式例如</w:t>
      </w:r>
      <w:r>
        <w:rPr>
          <w:rFonts w:hint="default"/>
          <w:sz w:val="21"/>
          <w:szCs w:val="21"/>
          <w:lang w:val="en-US" w:eastAsia="zh-CN"/>
        </w:rPr>
        <w:t>：</w:t>
      </w:r>
    </w:p>
    <w:p>
      <w:r>
        <w:drawing>
          <wp:inline distT="0" distB="0" distL="114300" distR="114300">
            <wp:extent cx="1097280" cy="1031875"/>
            <wp:effectExtent l="0" t="0" r="0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 preferRelativeResize="0"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076960" cy="1013460"/>
            <wp:effectExtent l="0" t="0" r="5080" b="762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 preferRelativeResize="0"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076960" cy="1013460"/>
            <wp:effectExtent l="0" t="0" r="5080" b="762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 preferRelativeResize="0"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97330" cy="1005840"/>
            <wp:effectExtent l="0" t="0" r="11430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 preferRelativeResize="0"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2" w:lineRule="auto"/>
        <w:ind w:left="0" w:right="0"/>
        <w:jc w:val="both"/>
        <w:rPr>
          <w:rFonts w:hint="eastAsia" w:ascii="宋体" w:hAnsi="宋体" w:eastAsia="宋体" w:cs="宋体"/>
          <w:i w:val="0"/>
          <w:color w:val="000000"/>
          <w:spacing w:val="0"/>
          <w:sz w:val="32"/>
          <w:szCs w:val="32"/>
          <w:vertAlign w:val="baseline"/>
          <w:lang w:eastAsia="zh-CN"/>
        </w:rPr>
      </w:pPr>
    </w:p>
    <w:p/>
    <w:p>
      <w:pPr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</w:t>
      </w:r>
      <w:r>
        <w:rPr>
          <w:rFonts w:hint="eastAsia"/>
          <w:sz w:val="48"/>
          <w:szCs w:val="48"/>
          <w:lang w:val="en-US" w:eastAsia="zh-CN"/>
        </w:rPr>
        <w:t xml:space="preserve">财务报表  </w:t>
      </w:r>
    </w:p>
    <w:p>
      <w:pPr>
        <w:rPr>
          <w:rFonts w:hint="eastAsia"/>
          <w:sz w:val="48"/>
          <w:szCs w:val="48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259080</wp:posOffset>
            </wp:positionV>
            <wp:extent cx="2143125" cy="2286000"/>
            <wp:effectExtent l="0" t="0" r="5715" b="0"/>
            <wp:wrapSquare wrapText="bothSides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sz w:val="48"/>
          <w:szCs w:val="48"/>
          <w:lang w:val="en-US" w:eastAsia="zh-CN"/>
        </w:rPr>
      </w:pPr>
    </w:p>
    <w:p>
      <w:pPr>
        <w:rPr>
          <w:rFonts w:hint="default"/>
          <w:sz w:val="48"/>
          <w:szCs w:val="48"/>
          <w:lang w:val="en-US" w:eastAsia="zh-CN"/>
        </w:rPr>
      </w:pPr>
    </w:p>
    <w:p>
      <w:pPr>
        <w:rPr>
          <w:rFonts w:hint="default"/>
          <w:sz w:val="48"/>
          <w:szCs w:val="48"/>
          <w:lang w:val="en-US" w:eastAsia="zh-CN"/>
        </w:rPr>
      </w:pPr>
    </w:p>
    <w:p>
      <w:pPr>
        <w:rPr>
          <w:rFonts w:hint="default"/>
          <w:sz w:val="48"/>
          <w:szCs w:val="48"/>
          <w:lang w:val="en-US" w:eastAsia="zh-CN"/>
        </w:rPr>
      </w:pPr>
    </w:p>
    <w:p>
      <w:pPr>
        <w:rPr>
          <w:rFonts w:hint="default"/>
          <w:sz w:val="48"/>
          <w:szCs w:val="48"/>
          <w:lang w:val="en-US" w:eastAsia="zh-CN"/>
        </w:rPr>
      </w:pPr>
    </w:p>
    <w:p>
      <w:pPr>
        <w:rPr>
          <w:rFonts w:hint="default"/>
          <w:sz w:val="48"/>
          <w:szCs w:val="48"/>
          <w:lang w:val="en-US" w:eastAsia="zh-CN"/>
        </w:rPr>
      </w:pPr>
    </w:p>
    <w:p>
      <w:pPr>
        <w:rPr>
          <w:rFonts w:hint="default"/>
          <w:sz w:val="48"/>
          <w:szCs w:val="48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-905510</wp:posOffset>
            </wp:positionH>
            <wp:positionV relativeFrom="paragraph">
              <wp:posOffset>287655</wp:posOffset>
            </wp:positionV>
            <wp:extent cx="7061835" cy="1407795"/>
            <wp:effectExtent l="0" t="0" r="9525" b="9525"/>
            <wp:wrapSquare wrapText="bothSides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61835" cy="1407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sz w:val="48"/>
          <w:szCs w:val="48"/>
          <w:lang w:val="en-US" w:eastAsia="zh-CN"/>
        </w:rPr>
      </w:pPr>
      <w:bookmarkStart w:id="0" w:name="_GoBack"/>
      <w:bookmarkEnd w:id="0"/>
    </w:p>
    <w:p>
      <w:pPr>
        <w:rPr>
          <w:rFonts w:hint="default"/>
          <w:sz w:val="48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F05BC"/>
    <w:rsid w:val="687F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2020-05-04T07:39:00Z</dcterms:created>
  <dc:creator>peanut</dc:creator>
  <cp:lastModifiedBy>peanut</cp:lastModifiedBy>
  <dcterms:modified xsi:type="dcterms:W3CDTF">2020-05-04T07:45:36Z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