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2"/>
          <w:szCs w:val="28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32"/>
          <w:szCs w:val="32"/>
          <w:u w:val="none"/>
          <w:shd w:val="clear" w:fill="FFFFFF"/>
          <w:lang w:eastAsia="zh-CN" w:bidi="ar"/>
        </w:rPr>
        <w:t>工商企业管理就业前景：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行政管理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2.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人力资源管理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3.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市场营销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4.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生产管理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5.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物流管理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6.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质量管理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7.</w:t>
      </w:r>
      <w:bookmarkStart w:id="0" w:name="_GoBack"/>
      <w:bookmarkEnd w:id="0"/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财务管理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8.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市场预测</w:t>
      </w: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9.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商品调研</w:t>
      </w: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10.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营销策划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11.</w:t>
      </w: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金融/投资/证券</w:t>
      </w:r>
    </w:p>
    <w:p>
      <w:pP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12.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国家和省市各级经济综合管理部门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13.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客户服务经理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  <w:t>14.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银行职员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>
      <w:p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</w:p>
    <w:p/>
    <w:sectPr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-apple-system-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F294B"/>
    <w:rsid w:val="1E5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Office_1.5.0.2161_F1E327BC-269C-435d-A152-05C5408002CA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2019-11-18T22:50:00Z</dcterms:created>
  <dc:creator>pourin</dc:creator>
  <cp:lastModifiedBy>pourin</cp:lastModifiedBy>
  <dcterms:modified xsi:type="dcterms:W3CDTF">2019-11-18T23:10:57Z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2052-1.5.0.2161</vt:lpwstr>
  </property>
</Properties>
</file>