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微软雅黑" w:hAnsi="微软雅黑" w:eastAsia="微软雅黑" w:cs="微软雅黑"/>
          <w:lang w:val="en-US" w:eastAsia="zh-CN"/>
        </w:rPr>
      </w:pPr>
      <w:r>
        <w:rPr>
          <w:rFonts w:hint="eastAsia" w:ascii="微软雅黑" w:hAnsi="微软雅黑" w:eastAsia="微软雅黑" w:cs="微软雅黑"/>
          <w:lang w:eastAsia="zh-CN"/>
        </w:rPr>
        <w:t>学习内容：学生章华伊，学号</w:t>
      </w:r>
      <w:r>
        <w:rPr>
          <w:rFonts w:hint="eastAsia" w:ascii="微软雅黑" w:hAnsi="微软雅黑" w:eastAsia="微软雅黑" w:cs="微软雅黑"/>
          <w:lang w:val="en-US" w:eastAsia="zh-CN"/>
        </w:rPr>
        <w:t>1763232，是海洋文化与法律学院17级行政管理专业学生，2019年10月15日和10月22日在1203教室听取了周辉老师所讲授的《解读国庆阅兵与习大大讲话》形势与政策专题与《走好城乡融合发展之路》形式与政策专题。其中《解读国庆阅兵与习大大讲话》专题主要讲述内容如下：从“艰辛探索，铸就辉煌成就”、“砥砺奋进，谱写壮丽史诗”、“深刻启示，引领前行之路”三个角度高度概括与分析习近平在国庆阅兵仪式上的讲话。而在《走好城乡融合发展之路》形式与政策专题，周老师向我们讲述了改革开放70年，中国人民为国家富强，将大家合为小家，走好城乡融合发展之路的深远意义。</w:t>
      </w:r>
    </w:p>
    <w:p>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学习心得：我们曾经历过那样一个连受到假惺惺的尊重与名义上的平等都是奢望的年代，而放眼今天的世界，中国在大步走向世界舞台的中央的同时也积极地以在各个领域做出的非凡成就回应着；在政治上，中国任常任理事国享有一票否决权；在经济上，中国成为全球第二大经济体；在科技上，中国成为第三个将宇航员送上太空的国家；在基建上，中国高速力压美国摘得世界桂冠；在军事上，东风41与和平方舟无时无刻不在宣誓着勿谓言之不预也的大国气魄与犯我华夏者虽远必诛的绝不姑息。然而，此亦多丽之阳春，此亦绝念之残冬，即使是远离了销烟于战场的和平年代，侮辱与诋毁一个国家的行为还是时有发生的，无论是去年年底的杜嘉班纳事件还是这次的香港暴乱，其中都有外国的邪恶势力从中作梗。</w:t>
      </w:r>
    </w:p>
    <w:p>
      <w:pP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 xml:space="preserve">    那么作为新时代新青年，祖国未来建设的生力军，又该如何做呢？首先，我认为我们要清楚自己身上的定位。习大大说，“全青年兴则国兴，青年强则国强，青年一代有理想、有本领、有担当，国家就有前途，民族就有希望。”习大大还说，“青年一代是最富有朝气、最富有理想的。”今天的中国进入了新的时代，开启了全面迈向社会主义现代化强国的新的征程；作为新时代新青年，在这个伟大的时代中，读书应为天地立心、为生民立命、为往圣继绝学、为万世开太平，努力学好专业知识，坚持理性爱国思想，</w:t>
      </w:r>
      <w:bookmarkStart w:id="0" w:name="_GoBack"/>
      <w:bookmarkEnd w:id="0"/>
      <w:r>
        <w:rPr>
          <w:rFonts w:hint="eastAsia" w:ascii="微软雅黑" w:hAnsi="微软雅黑" w:eastAsia="微软雅黑" w:cs="微软雅黑"/>
          <w:lang w:val="en-US" w:eastAsia="zh-CN"/>
        </w:rPr>
        <w:t>用自己的所学报效国家与社会；要主动置身于历史的洪流之中，始终对自己的言行负责，将自己的命运与国家的命运紧密相连，站在更大的格局，用更高的眼界看待国家、家乡和自身，方能建功立业，不负韶华。</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C227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天国的芦苇</cp:lastModifiedBy>
  <dcterms:modified xsi:type="dcterms:W3CDTF">2019-10-25T14:56:28Z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