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附件三：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第九届“竞攀杯”课外学术作品竞赛答辩评分细则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细则是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/>
        </w:rPr>
        <w:t>竞攀杯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课外学术科技作品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竞赛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复赛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作品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答辩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评审依据，供评委参照执行。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</w:rPr>
        <w:t>正式陈述（55%）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eastAsia="zh-CN"/>
        </w:rPr>
        <w:t>作品的基本思路和主要研究方法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：</w:t>
      </w: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eastAsia="zh-CN"/>
        </w:rPr>
        <w:t>研究意义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：15%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eastAsia="zh-CN"/>
        </w:rPr>
        <w:t>研究结果及研究结果的意义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：</w:t>
      </w: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eastAsia="zh-CN"/>
        </w:rPr>
        <w:t>作品的实际应用价值和现实意义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：10%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</w:rPr>
        <w:t>2、回答问题（30%）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正确理解评委的问题：5%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及时流畅回答问题：5%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回答准确可信：10%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对评委感兴趣的问题能做充分阐述：10%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</w:rPr>
        <w:t>3、团队整体表现（15%）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300" w:right="0" w:rightChars="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整体答辩逻辑严谨、思路清晰：5%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="0" w:leftChars="300" w:right="0" w:rightChars="0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团队成员协作完成：5%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300" w:lineRule="auto"/>
        <w:ind w:leftChars="30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在规定时间内完成：5%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EE9B"/>
    <w:multiLevelType w:val="singleLevel"/>
    <w:tmpl w:val="58AFEE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5788C"/>
    <w:rsid w:val="28B82E13"/>
    <w:rsid w:val="5311397E"/>
    <w:rsid w:val="69F57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2017-02-24T08:40:00Z</dcterms:created>
  <dc:creator>Administrator</dc:creator>
  <cp:lastModifiedBy>Administrator</cp:lastModifiedBy>
  <dcterms:modified xsi:type="dcterms:W3CDTF">2017-02-24T08:41:50Z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